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color w:val="auto"/>
        </w:rPr>
        <w:t>As filed with the Securities and Exchange Commission on September 20, 2022</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No. 333-259997</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No. 333-265218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333-259997</w:t>
      </w:r>
    </w:p>
    <w:p>
      <w:pPr>
        <w:spacing w:after="0" w:line="31"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333-265218</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Zealand Pharma A/S</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3" w:lineRule="exact"/>
        <w:rPr>
          <w:sz w:val="24"/>
          <w:szCs w:val="24"/>
          <w:color w:val="auto"/>
        </w:rPr>
      </w:pPr>
    </w:p>
    <w:tbl>
      <w:tblPr>
        <w:tblLayout w:type="fixed"/>
        <w:tblInd w:w="680" w:type="dxa"/>
        <w:tblCellMar>
          <w:top w:w="0" w:type="dxa"/>
          <w:left w:w="0" w:type="dxa"/>
          <w:bottom w:w="0" w:type="dxa"/>
          <w:right w:w="0" w:type="dxa"/>
        </w:tblCellMar>
      </w:tblPr>
      <w:tr>
        <w:trPr>
          <w:trHeight w:val="216"/>
        </w:trPr>
        <w:tc>
          <w:tcPr>
            <w:tcW w:w="3160" w:type="dxa"/>
            <w:vAlign w:val="bottom"/>
          </w:tcPr>
          <w:p>
            <w:pPr>
              <w:jc w:val="center"/>
              <w:ind w:right="610"/>
              <w:spacing w:after="0"/>
              <w:rPr>
                <w:sz w:val="20"/>
                <w:szCs w:val="20"/>
                <w:color w:val="auto"/>
              </w:rPr>
            </w:pPr>
            <w:r>
              <w:rPr>
                <w:rFonts w:ascii="Times New Roman" w:cs="Times New Roman" w:eastAsia="Times New Roman" w:hAnsi="Times New Roman"/>
                <w:sz w:val="18"/>
                <w:szCs w:val="18"/>
                <w:b w:val="1"/>
                <w:bCs w:val="1"/>
                <w:color w:val="auto"/>
                <w:w w:val="99"/>
              </w:rPr>
              <w:t>The Kingdom of Denmark</w:t>
            </w: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2834</w:t>
            </w:r>
          </w:p>
        </w:tc>
        <w:tc>
          <w:tcPr>
            <w:tcW w:w="2600" w:type="dxa"/>
            <w:vAlign w:val="bottom"/>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216"/>
        </w:trPr>
        <w:tc>
          <w:tcPr>
            <w:tcW w:w="316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(Primary Standard Industrial</w:t>
            </w:r>
          </w:p>
        </w:tc>
        <w:tc>
          <w:tcPr>
            <w:tcW w:w="2600" w:type="dxa"/>
            <w:vAlign w:val="bottom"/>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160" w:type="dxa"/>
            <w:vAlign w:val="bottom"/>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38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Classification Code Number)</w:t>
            </w:r>
          </w:p>
        </w:tc>
        <w:tc>
          <w:tcPr>
            <w:tcW w:w="2600" w:type="dxa"/>
            <w:vAlign w:val="bottom"/>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rPr>
              <w:t>Identification Number)</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Sydmarken 11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2860 Søborg</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(Copenhagen)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Denmark</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+45 88 77 36 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and telephone number of Registrant’s principal executive offices)</w:t>
      </w:r>
    </w:p>
    <w:p>
      <w:pPr>
        <w:spacing w:after="0" w:line="203" w:lineRule="exact"/>
        <w:rPr>
          <w:sz w:val="24"/>
          <w:szCs w:val="24"/>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Zealand Pharma A/S – 2018 Agreements on Warrants for Management</w:t>
      </w:r>
    </w:p>
    <w:p>
      <w:pPr>
        <w:spacing w:after="0" w:line="31" w:lineRule="exact"/>
        <w:rPr>
          <w:sz w:val="24"/>
          <w:szCs w:val="24"/>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Zealand Pharma A/S – 2019 Agreements on Warrants for Management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Zealand Pharma A/S – 2019 Long Term Incentive Plan (Performance Share Units)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Zealand Pharma A/S – 2020 Agreements on Warrants for Employees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Zealand Pharma A/S – 2020 Agreements on Warrants for Management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Zealand Pharma A/S – 2020 Restricted Share Unit Program</w:t>
      </w:r>
    </w:p>
    <w:p>
      <w:pPr>
        <w:spacing w:after="0" w:line="9" w:lineRule="exact"/>
        <w:rPr>
          <w:sz w:val="24"/>
          <w:szCs w:val="24"/>
          <w:color w:val="auto"/>
        </w:rPr>
      </w:pPr>
    </w:p>
    <w:p>
      <w:pPr>
        <w:jc w:val="center"/>
        <w:ind w:left="340" w:right="2400"/>
        <w:spacing w:after="0" w:line="250" w:lineRule="auto"/>
        <w:rPr>
          <w:sz w:val="20"/>
          <w:szCs w:val="20"/>
          <w:color w:val="auto"/>
        </w:rPr>
      </w:pPr>
      <w:r>
        <w:rPr>
          <w:rFonts w:ascii="Times New Roman" w:cs="Times New Roman" w:eastAsia="Times New Roman" w:hAnsi="Times New Roman"/>
          <w:sz w:val="18"/>
          <w:szCs w:val="18"/>
          <w:b w:val="1"/>
          <w:bCs w:val="1"/>
          <w:color w:val="auto"/>
        </w:rPr>
        <w:t>Zealand Pharma A/S – 2021 Agreements on Restricted Share Units for Directors Zealand Pharma A/S – 2021 Restricted Stock Unit Plan for Employees Zealand Pharma A/S – 2021 Restricted Stock Unit Plan for Corporate Management</w:t>
      </w:r>
    </w:p>
    <w:p>
      <w:pPr>
        <w:spacing w:after="0" w:line="1" w:lineRule="exact"/>
        <w:rPr>
          <w:sz w:val="24"/>
          <w:szCs w:val="24"/>
          <w:color w:val="auto"/>
        </w:rPr>
      </w:pPr>
    </w:p>
    <w:p>
      <w:pPr>
        <w:jc w:val="center"/>
        <w:ind w:left="340" w:right="1260"/>
        <w:spacing w:after="0" w:line="250" w:lineRule="auto"/>
        <w:rPr>
          <w:sz w:val="20"/>
          <w:szCs w:val="20"/>
          <w:color w:val="auto"/>
        </w:rPr>
      </w:pPr>
      <w:r>
        <w:rPr>
          <w:rFonts w:ascii="Times New Roman" w:cs="Times New Roman" w:eastAsia="Times New Roman" w:hAnsi="Times New Roman"/>
          <w:sz w:val="18"/>
          <w:szCs w:val="18"/>
          <w:b w:val="1"/>
          <w:bCs w:val="1"/>
          <w:color w:val="auto"/>
        </w:rPr>
        <w:t>Zealand Pharma A/S – 2021 Performance Stock Unit Plan for Corporate Management (Market-Based PSUs) Zealand Pharma A/S – 2021 Performance Stock Unit Plan for Corporate Management (Operational-Based PSUs) Zealand Pharma A/S – 2022 Restricted Stock Unit Plan for Employees in the United States Zealand Pharma A/S – 2022 Restricted Stock Unit Plan for Board of Directors</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(Full title of the plans)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Zealand Pharma U.S.,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44 Farnsworth Street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Boston MA 02210</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+45 88 77 36 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address, and telephone number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Joshua A. Kaufman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 A. Recht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David Boles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Cooley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55 Hudson Yards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10001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+1 212 479-6000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See the definitions of “large, accelerated filer,” “accelerated filer” and “smaller reporting company” in Rule 12b-2 of the Exchange Act.</w:t>
      </w:r>
    </w:p>
    <w:p>
      <w:pPr>
        <w:sectPr>
          <w:pgSz w:w="11900" w:h="16838" w:orient="portrait"/>
          <w:cols w:equalWidth="0" w:num="1">
            <w:col w:w="11240"/>
          </w:cols>
          <w:pgMar w:left="320" w:top="229" w:right="3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7"/>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86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8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Accelerated filer</w:t>
            </w:r>
          </w:p>
        </w:tc>
        <w:tc>
          <w:tcPr>
            <w:tcW w:w="980" w:type="dxa"/>
            <w:vAlign w:val="bottom"/>
          </w:tcPr>
          <w:p>
            <w:pPr>
              <w:ind w:left="8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86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8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980" w:type="dxa"/>
            <w:vAlign w:val="bottom"/>
          </w:tcPr>
          <w:p>
            <w:pPr>
              <w:ind w:left="8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8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Emerging growth company</w:t>
            </w:r>
          </w:p>
        </w:tc>
        <w:tc>
          <w:tcPr>
            <w:tcW w:w="980" w:type="dxa"/>
            <w:vAlign w:val="bottom"/>
          </w:tcPr>
          <w:p>
            <w:pPr>
              <w:ind w:left="8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686435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These Post-Effective Amendments relate to the following Registration Statements on Form S-8 (collectively, the “Registration Statements”), filed 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Zealand Pharma A/S (the “Registrant”) with the Securities and Exchange Commission (the “SEC”):</w:t>
      </w:r>
    </w:p>
    <w:p>
      <w:pPr>
        <w:spacing w:after="0" w:line="207" w:lineRule="exact"/>
        <w:rPr>
          <w:sz w:val="20"/>
          <w:szCs w:val="20"/>
          <w:color w:val="auto"/>
        </w:rPr>
      </w:pPr>
    </w:p>
    <w:p>
      <w:pPr>
        <w:jc w:val="both"/>
        <w:ind w:left="660" w:hanging="328"/>
        <w:spacing w:after="0" w:line="25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18">
        <w:r>
          <w:rPr>
            <w:rFonts w:ascii="Times New Roman" w:cs="Times New Roman" w:eastAsia="Times New Roman" w:hAnsi="Times New Roman"/>
            <w:sz w:val="18"/>
            <w:szCs w:val="18"/>
            <w:u w:val="single" w:color="auto"/>
            <w:color w:val="0000EE"/>
          </w:rPr>
          <w:t>Form S-8 (File No. 333-259997), filed with the SEC on October 4, 2021</w:t>
        </w:r>
      </w:hyperlink>
      <w:r>
        <w:rPr>
          <w:rFonts w:ascii="Times New Roman" w:cs="Times New Roman" w:eastAsia="Times New Roman" w:hAnsi="Times New Roman"/>
          <w:sz w:val="18"/>
          <w:szCs w:val="18"/>
          <w:color w:val="auto"/>
        </w:rPr>
        <w:t>, registering 1,543,977 of the Registrant’s ordinary shares, including: (1) 40,000 ordinary shares issuable upon exercise of outstanding warrants issued pursuant to the Zealand Pharma A/S – 2018 Agreements on Warrants for Management; (2) (i) 54,594 ordinary shares issuable upon exercise of outstanding warrants to subscribe for ordinary shares of the Registrant and (ii) 8,659 outstanding ordinary shares issued upon exercise of warrants to subscribe for ordinary shares of the Registrant pursuant to the Zealand Pharma A/S – 2019 Agreements on Warrants for Management; (3) 3,062 ordinary shares issuable upon vesting of outstanding restricted stock units pursuant to the Zealand Pharma A/S – 2019 Long Term Incentive Plan (Performance Share Units); (4) 139,120 ordinary shares issuable upon exercise of outstanding warrants issued pursuant to the Zealand Pharma A/S – 2020 Agreements on Warrants for Employees; (5) 90,609 ordinary shares issuable upon exercise of outstanding warrants issued pursuant to the Zealand Pharma A/S – 2020 Agreements on Warrants for Management; (5) 13,801 ordinary shares issuable upon vesting of outstanding restricted share units pursuant to the Zealand Pharma A/S – 2020 Restricted Share Unit Program; (6) 8,000 ordinary shares issuable upon vesting of outstanding restricted share units pursuant to the Zealand Pharma A/S – 2021 Agreements on Restricted Share Units for Directors; (7) (i) 165,112 ordinary shares issuable upon vesting of outstanding restricted stock units and (ii) 891,567 ordinary shares reserved for issuance upon vesting of restricted stock units issuable pursuant to the Zealand Pharma A/S – 2021 Restricted Stock Unit Plan for Employees; (8) 32,363 ordinary shares issuable upon vesting of outstanding restricted stock units pursuant to the Zealand Pharma A/S – 2021 Restricted Stock Unit Plan for Corporate Management; (9) 48,545 ordinary shares issuable upon vesting of outstanding restricted stock units pursuant to the Zealand Pharma A/S – 2021 Performance Stock Unit Plan for Corporate Management (Market-Based PSUs); and (10) 48,545 ordinary shares issuable upon vesting of outstanding restricted stock units pursuant to the Zealand Pharma A/S – 2021 Performance Stock Unit Plan for Corporate Management (Operational-Based PSUs); and</w:t>
      </w:r>
    </w:p>
    <w:p>
      <w:pPr>
        <w:spacing w:after="0" w:line="19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19">
        <w:r>
          <w:rPr>
            <w:rFonts w:ascii="Times New Roman" w:cs="Times New Roman" w:eastAsia="Times New Roman" w:hAnsi="Times New Roman"/>
            <w:sz w:val="18"/>
            <w:szCs w:val="18"/>
            <w:u w:val="single" w:color="auto"/>
            <w:color w:val="0000EE"/>
          </w:rPr>
          <w:t>Form S-8 (File No. 333- 265218), filed with the SEC on May 26, 2022</w:t>
        </w:r>
      </w:hyperlink>
      <w:r>
        <w:rPr>
          <w:rFonts w:ascii="Times New Roman" w:cs="Times New Roman" w:eastAsia="Times New Roman" w:hAnsi="Times New Roman"/>
          <w:sz w:val="18"/>
          <w:szCs w:val="18"/>
          <w:color w:val="auto"/>
        </w:rPr>
        <w:t>, registering 99,420 ordinary shares, issuable upon vesting of outstanding restricted stock units pursuant to the Registrant’s Zealand Pharma A/S – 2022 Restricted Stock Unit Plan for Employees in the United States and 8,000 ordinary shares issuable upon vesting of outstanding restricted stock units pursuant to the Zealand Pharma A/S – 2022 Restricted Stock Unit Plan for Board of Directors.</w:t>
      </w:r>
    </w:p>
    <w:p>
      <w:pPr>
        <w:spacing w:after="0" w:line="180" w:lineRule="exact"/>
        <w:rPr>
          <w:rFonts w:ascii="Times New Roman" w:cs="Times New Roman" w:eastAsia="Times New Roman" w:hAnsi="Times New Roman"/>
          <w:sz w:val="18"/>
          <w:szCs w:val="18"/>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accordance with undertakings made by the Registrant in each the Registration Statements to remove from registration, by means of a post-effective amendment, any of the securities that were registered for issuance that remain unsold at the termination of the offering, the Registrant hereby removes from registration all of such securities of the Registrant registered but unsold under each of the Registration Statements. As a result of this deregistration, no securities remain registered for sale pursuant to the Registration Statements.</w:t>
      </w:r>
    </w:p>
    <w:p>
      <w:pPr>
        <w:spacing w:after="0" w:line="396"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of these amendments to Form S-8 and has duly caused these Registration Statement amendments to be signed on its behalf by the undersigned, thereunto duly authorized, in Copenhagen, Denmark, on September 20, 2022.</w:t>
      </w:r>
    </w:p>
    <w:p>
      <w:pPr>
        <w:spacing w:after="0" w:line="17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ZEALAND PHARMA A/S</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i w:val="1"/>
          <w:iCs w:val="1"/>
          <w:color w:val="auto"/>
        </w:rPr>
        <w:t>By:</w:t>
      </w:r>
      <w:r>
        <w:rPr>
          <w:sz w:val="20"/>
          <w:szCs w:val="20"/>
          <w:color w:val="auto"/>
        </w:rPr>
        <w:tab/>
      </w:r>
      <w:r>
        <w:rPr>
          <w:rFonts w:ascii="Times New Roman" w:cs="Times New Roman" w:eastAsia="Times New Roman" w:hAnsi="Times New Roman"/>
          <w:sz w:val="18"/>
          <w:szCs w:val="18"/>
          <w:i w:val="1"/>
          <w:iCs w:val="1"/>
          <w:color w:val="auto"/>
        </w:rPr>
        <w:t>/s/ Adam Steensberg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Adam Steensberg</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20" w:type="dxa"/>
            <w:vAlign w:val="bottom"/>
            <w:tcBorders>
              <w:bottom w:val="single" w:sz="8" w:color="auto"/>
            </w:tcBorders>
          </w:tcPr>
          <w:p>
            <w:pPr>
              <w:ind w:left="158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20" w:type="dxa"/>
            <w:vAlign w:val="bottom"/>
          </w:tcPr>
          <w:p>
            <w:pPr>
              <w:spacing w:after="0"/>
              <w:rPr>
                <w:sz w:val="21"/>
                <w:szCs w:val="21"/>
                <w:color w:val="auto"/>
              </w:rPr>
            </w:pPr>
          </w:p>
        </w:tc>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20" w:type="dxa"/>
            <w:vAlign w:val="bottom"/>
          </w:tcPr>
          <w:p>
            <w:pPr>
              <w:spacing w:after="0"/>
              <w:rPr>
                <w:sz w:val="21"/>
                <w:szCs w:val="21"/>
                <w:color w:val="auto"/>
              </w:rPr>
            </w:pPr>
          </w:p>
        </w:tc>
        <w:tc>
          <w:tcPr>
            <w:tcW w:w="3460" w:type="dxa"/>
            <w:vAlign w:val="bottom"/>
            <w:tcBorders>
              <w:bottom w:val="single" w:sz="8" w:color="auto"/>
            </w:tcBorders>
          </w:tcPr>
          <w:p>
            <w:pPr>
              <w:ind w:left="158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432"/>
        </w:trPr>
        <w:tc>
          <w:tcPr>
            <w:tcW w:w="382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/s/ Adam Steensberg</w:t>
            </w:r>
          </w:p>
        </w:tc>
        <w:tc>
          <w:tcPr>
            <w:tcW w:w="120" w:type="dxa"/>
            <w:vAlign w:val="bottom"/>
          </w:tcPr>
          <w:p>
            <w:pPr>
              <w:spacing w:after="0"/>
              <w:rPr>
                <w:sz w:val="24"/>
                <w:szCs w:val="24"/>
                <w:color w:val="auto"/>
              </w:rPr>
            </w:pPr>
          </w:p>
        </w:tc>
        <w:tc>
          <w:tcPr>
            <w:tcW w:w="38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 (Principal Executive</w:t>
            </w:r>
          </w:p>
        </w:tc>
        <w:tc>
          <w:tcPr>
            <w:tcW w:w="34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September 20, 2022</w:t>
            </w:r>
          </w:p>
        </w:tc>
      </w:tr>
      <w:tr>
        <w:trPr>
          <w:trHeight w:val="228"/>
        </w:trPr>
        <w:tc>
          <w:tcPr>
            <w:tcW w:w="38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Adam Steensberg</w:t>
            </w:r>
          </w:p>
        </w:tc>
        <w:tc>
          <w:tcPr>
            <w:tcW w:w="120" w:type="dxa"/>
            <w:vAlign w:val="bottom"/>
          </w:tcPr>
          <w:p>
            <w:pPr>
              <w:spacing w:after="0"/>
              <w:rPr>
                <w:sz w:val="19"/>
                <w:szCs w:val="19"/>
                <w:color w:val="auto"/>
              </w:rPr>
            </w:pPr>
          </w:p>
        </w:tc>
        <w:tc>
          <w:tcPr>
            <w:tcW w:w="38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Officer)</w:t>
            </w:r>
          </w:p>
        </w:tc>
        <w:tc>
          <w:tcPr>
            <w:tcW w:w="3460" w:type="dxa"/>
            <w:vAlign w:val="bottom"/>
          </w:tcPr>
          <w:p>
            <w:pPr>
              <w:spacing w:after="0"/>
              <w:rPr>
                <w:sz w:val="19"/>
                <w:szCs w:val="19"/>
                <w:color w:val="auto"/>
              </w:rPr>
            </w:pPr>
          </w:p>
        </w:tc>
      </w:tr>
      <w:tr>
        <w:trPr>
          <w:trHeight w:val="427"/>
        </w:trPr>
        <w:tc>
          <w:tcPr>
            <w:tcW w:w="382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/s/ Lykke Rømer</w:t>
            </w:r>
          </w:p>
        </w:tc>
        <w:tc>
          <w:tcPr>
            <w:tcW w:w="120" w:type="dxa"/>
            <w:vAlign w:val="bottom"/>
          </w:tcPr>
          <w:p>
            <w:pPr>
              <w:spacing w:after="0"/>
              <w:rPr>
                <w:sz w:val="24"/>
                <w:szCs w:val="24"/>
                <w:color w:val="auto"/>
              </w:rPr>
            </w:pPr>
          </w:p>
        </w:tc>
        <w:tc>
          <w:tcPr>
            <w:tcW w:w="38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Interim Chief Financial Officer (Principal</w:t>
            </w:r>
          </w:p>
        </w:tc>
        <w:tc>
          <w:tcPr>
            <w:tcW w:w="34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September 20, 2022</w:t>
            </w:r>
          </w:p>
        </w:tc>
      </w:tr>
      <w:tr>
        <w:trPr>
          <w:trHeight w:val="228"/>
        </w:trPr>
        <w:tc>
          <w:tcPr>
            <w:tcW w:w="38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Lykke Rømer</w:t>
            </w:r>
          </w:p>
        </w:tc>
        <w:tc>
          <w:tcPr>
            <w:tcW w:w="120" w:type="dxa"/>
            <w:vAlign w:val="bottom"/>
          </w:tcPr>
          <w:p>
            <w:pPr>
              <w:spacing w:after="0"/>
              <w:rPr>
                <w:sz w:val="19"/>
                <w:szCs w:val="19"/>
                <w:color w:val="auto"/>
              </w:rPr>
            </w:pPr>
          </w:p>
        </w:tc>
        <w:tc>
          <w:tcPr>
            <w:tcW w:w="38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Financial and Accounting Officer)</w:t>
            </w:r>
          </w:p>
        </w:tc>
        <w:tc>
          <w:tcPr>
            <w:tcW w:w="3460" w:type="dxa"/>
            <w:vAlign w:val="bottom"/>
          </w:tcPr>
          <w:p>
            <w:pPr>
              <w:spacing w:after="0"/>
              <w:rPr>
                <w:sz w:val="19"/>
                <w:szCs w:val="19"/>
                <w:color w:val="auto"/>
              </w:rPr>
            </w:pPr>
          </w:p>
        </w:tc>
      </w:tr>
      <w:tr>
        <w:trPr>
          <w:trHeight w:val="427"/>
        </w:trPr>
        <w:tc>
          <w:tcPr>
            <w:tcW w:w="382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38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Chairman of the Board of Directors</w:t>
            </w:r>
          </w:p>
        </w:tc>
        <w:tc>
          <w:tcPr>
            <w:tcW w:w="34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September 20, 2022</w:t>
            </w:r>
          </w:p>
        </w:tc>
      </w:tr>
      <w:tr>
        <w:trPr>
          <w:trHeight w:val="228"/>
        </w:trPr>
        <w:tc>
          <w:tcPr>
            <w:tcW w:w="38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Martin Nicklasson</w:t>
            </w:r>
          </w:p>
        </w:tc>
        <w:tc>
          <w:tcPr>
            <w:tcW w:w="12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60" w:type="dxa"/>
            <w:vAlign w:val="bottom"/>
          </w:tcPr>
          <w:p>
            <w:pPr>
              <w:spacing w:after="0"/>
              <w:rPr>
                <w:sz w:val="19"/>
                <w:szCs w:val="19"/>
                <w:color w:val="auto"/>
              </w:rPr>
            </w:pPr>
          </w:p>
        </w:tc>
      </w:tr>
      <w:tr>
        <w:trPr>
          <w:trHeight w:val="427"/>
        </w:trPr>
        <w:tc>
          <w:tcPr>
            <w:tcW w:w="382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38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Vice Chairman of the Board of Directors</w:t>
            </w:r>
          </w:p>
        </w:tc>
        <w:tc>
          <w:tcPr>
            <w:tcW w:w="34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September 20, 2022</w:t>
            </w:r>
          </w:p>
        </w:tc>
      </w:tr>
      <w:tr>
        <w:trPr>
          <w:trHeight w:val="228"/>
        </w:trPr>
        <w:tc>
          <w:tcPr>
            <w:tcW w:w="38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Kirsten A. Drejer</w:t>
            </w:r>
          </w:p>
        </w:tc>
        <w:tc>
          <w:tcPr>
            <w:tcW w:w="12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60" w:type="dxa"/>
            <w:vAlign w:val="bottom"/>
          </w:tcPr>
          <w:p>
            <w:pPr>
              <w:spacing w:after="0"/>
              <w:rPr>
                <w:sz w:val="19"/>
                <w:szCs w:val="19"/>
                <w:color w:val="auto"/>
              </w:rPr>
            </w:pPr>
          </w:p>
        </w:tc>
      </w:tr>
      <w:tr>
        <w:trPr>
          <w:trHeight w:val="427"/>
        </w:trPr>
        <w:tc>
          <w:tcPr>
            <w:tcW w:w="382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38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34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September 20, 2022</w:t>
            </w:r>
          </w:p>
        </w:tc>
      </w:tr>
      <w:tr>
        <w:trPr>
          <w:trHeight w:val="228"/>
        </w:trPr>
        <w:tc>
          <w:tcPr>
            <w:tcW w:w="38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Jeffrey Berkowitz</w:t>
            </w:r>
          </w:p>
        </w:tc>
        <w:tc>
          <w:tcPr>
            <w:tcW w:w="12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60" w:type="dxa"/>
            <w:vAlign w:val="bottom"/>
          </w:tcPr>
          <w:p>
            <w:pPr>
              <w:spacing w:after="0"/>
              <w:rPr>
                <w:sz w:val="19"/>
                <w:szCs w:val="19"/>
                <w:color w:val="auto"/>
              </w:rPr>
            </w:pPr>
          </w:p>
        </w:tc>
      </w:tr>
      <w:tr>
        <w:trPr>
          <w:trHeight w:val="427"/>
        </w:trPr>
        <w:tc>
          <w:tcPr>
            <w:tcW w:w="382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38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34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September 20, 2022</w:t>
            </w:r>
          </w:p>
        </w:tc>
      </w:tr>
      <w:tr>
        <w:trPr>
          <w:trHeight w:val="228"/>
        </w:trPr>
        <w:tc>
          <w:tcPr>
            <w:tcW w:w="38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Bernadette Connaughton</w:t>
            </w:r>
          </w:p>
        </w:tc>
        <w:tc>
          <w:tcPr>
            <w:tcW w:w="12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60" w:type="dxa"/>
            <w:vAlign w:val="bottom"/>
          </w:tcPr>
          <w:p>
            <w:pPr>
              <w:spacing w:after="0"/>
              <w:rPr>
                <w:sz w:val="19"/>
                <w:szCs w:val="19"/>
                <w:color w:val="auto"/>
              </w:rPr>
            </w:pPr>
          </w:p>
        </w:tc>
      </w:tr>
      <w:tr>
        <w:trPr>
          <w:trHeight w:val="427"/>
        </w:trPr>
        <w:tc>
          <w:tcPr>
            <w:tcW w:w="382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38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34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September 20, 2022</w:t>
            </w:r>
          </w:p>
        </w:tc>
      </w:tr>
      <w:tr>
        <w:trPr>
          <w:trHeight w:val="228"/>
        </w:trPr>
        <w:tc>
          <w:tcPr>
            <w:tcW w:w="38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Leonard Kruimer</w:t>
            </w:r>
          </w:p>
        </w:tc>
        <w:tc>
          <w:tcPr>
            <w:tcW w:w="12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60" w:type="dxa"/>
            <w:vAlign w:val="bottom"/>
          </w:tcPr>
          <w:p>
            <w:pPr>
              <w:spacing w:after="0"/>
              <w:rPr>
                <w:sz w:val="19"/>
                <w:szCs w:val="19"/>
                <w:color w:val="auto"/>
              </w:rPr>
            </w:pPr>
          </w:p>
        </w:tc>
      </w:tr>
      <w:tr>
        <w:trPr>
          <w:trHeight w:val="427"/>
        </w:trPr>
        <w:tc>
          <w:tcPr>
            <w:tcW w:w="382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38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34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September 20, 2022</w:t>
            </w:r>
          </w:p>
        </w:tc>
      </w:tr>
      <w:tr>
        <w:trPr>
          <w:trHeight w:val="228"/>
        </w:trPr>
        <w:tc>
          <w:tcPr>
            <w:tcW w:w="38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Alain Munoz</w:t>
            </w:r>
          </w:p>
        </w:tc>
        <w:tc>
          <w:tcPr>
            <w:tcW w:w="12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60" w:type="dxa"/>
            <w:vAlign w:val="bottom"/>
          </w:tcPr>
          <w:p>
            <w:pPr>
              <w:spacing w:after="0"/>
              <w:rPr>
                <w:sz w:val="19"/>
                <w:szCs w:val="19"/>
                <w:color w:val="auto"/>
              </w:rPr>
            </w:pPr>
          </w:p>
        </w:tc>
      </w:tr>
      <w:tr>
        <w:trPr>
          <w:trHeight w:val="427"/>
        </w:trPr>
        <w:tc>
          <w:tcPr>
            <w:tcW w:w="382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38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34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September 20, 2022</w:t>
            </w:r>
          </w:p>
        </w:tc>
      </w:tr>
      <w:tr>
        <w:trPr>
          <w:trHeight w:val="228"/>
        </w:trPr>
        <w:tc>
          <w:tcPr>
            <w:tcW w:w="38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Michael J. Owen</w:t>
            </w:r>
          </w:p>
        </w:tc>
        <w:tc>
          <w:tcPr>
            <w:tcW w:w="12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60" w:type="dxa"/>
            <w:vAlign w:val="bottom"/>
          </w:tcPr>
          <w:p>
            <w:pPr>
              <w:spacing w:after="0"/>
              <w:rPr>
                <w:sz w:val="19"/>
                <w:szCs w:val="19"/>
                <w:color w:val="auto"/>
              </w:rPr>
            </w:pPr>
          </w:p>
        </w:tc>
      </w:tr>
      <w:tr>
        <w:trPr>
          <w:trHeight w:val="427"/>
        </w:trPr>
        <w:tc>
          <w:tcPr>
            <w:tcW w:w="382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38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34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September 20, 2022</w:t>
            </w:r>
          </w:p>
        </w:tc>
      </w:tr>
      <w:tr>
        <w:trPr>
          <w:trHeight w:val="228"/>
        </w:trPr>
        <w:tc>
          <w:tcPr>
            <w:tcW w:w="38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Jens Peter Stenvang</w:t>
            </w:r>
          </w:p>
        </w:tc>
        <w:tc>
          <w:tcPr>
            <w:tcW w:w="12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60" w:type="dxa"/>
            <w:vAlign w:val="bottom"/>
          </w:tcPr>
          <w:p>
            <w:pPr>
              <w:spacing w:after="0"/>
              <w:rPr>
                <w:sz w:val="19"/>
                <w:szCs w:val="19"/>
                <w:color w:val="auto"/>
              </w:rPr>
            </w:pPr>
          </w:p>
        </w:tc>
      </w:tr>
      <w:tr>
        <w:trPr>
          <w:trHeight w:val="657"/>
        </w:trPr>
        <w:tc>
          <w:tcPr>
            <w:tcW w:w="382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2"/>
          </w:tcPr>
          <w:p>
            <w:pPr>
              <w:jc w:val="right"/>
              <w:ind w:right="191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0" w:type="dxa"/>
            <w:vAlign w:val="bottom"/>
            <w:tcBorders>
              <w:bottom w:val="single" w:sz="8" w:color="auto"/>
            </w:tcBorders>
          </w:tcPr>
          <w:p>
            <w:pPr>
              <w:spacing w:after="0"/>
              <w:rPr>
                <w:sz w:val="21"/>
                <w:szCs w:val="21"/>
                <w:color w:val="auto"/>
              </w:rPr>
            </w:pPr>
          </w:p>
        </w:tc>
        <w:tc>
          <w:tcPr>
            <w:tcW w:w="3240" w:type="dxa"/>
            <w:vAlign w:val="bottom"/>
            <w:tcBorders>
              <w:bottom w:val="single" w:sz="8" w:color="auto"/>
            </w:tcBorders>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120" w:type="dxa"/>
            <w:vAlign w:val="bottom"/>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tcPr>
          <w:p>
            <w:pPr>
              <w:jc w:val="center"/>
              <w:ind w:right="1510"/>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20" w:type="dxa"/>
            <w:vAlign w:val="bottom"/>
          </w:tcPr>
          <w:p>
            <w:pPr>
              <w:spacing w:after="0"/>
              <w:rPr>
                <w:sz w:val="21"/>
                <w:szCs w:val="21"/>
                <w:color w:val="auto"/>
              </w:rPr>
            </w:pPr>
          </w:p>
        </w:tc>
        <w:tc>
          <w:tcPr>
            <w:tcW w:w="3460" w:type="dxa"/>
            <w:vAlign w:val="bottom"/>
            <w:tcBorders>
              <w:bottom w:val="single" w:sz="8" w:color="auto"/>
            </w:tcBorders>
          </w:tcPr>
          <w:p>
            <w:pPr>
              <w:ind w:left="158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445"/>
        </w:trPr>
        <w:tc>
          <w:tcPr>
            <w:tcW w:w="3820" w:type="dxa"/>
            <w:vAlign w:val="bottom"/>
            <w:tcBorders>
              <w:bottom w:val="single" w:sz="8" w:color="auto"/>
            </w:tcBorders>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3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34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September 20, 2022</w:t>
            </w:r>
          </w:p>
        </w:tc>
      </w:tr>
      <w:tr>
        <w:trPr>
          <w:trHeight w:val="228"/>
        </w:trPr>
        <w:tc>
          <w:tcPr>
            <w:tcW w:w="580" w:type="dxa"/>
            <w:vAlign w:val="bottom"/>
          </w:tcPr>
          <w:p>
            <w:pPr>
              <w:spacing w:after="0"/>
              <w:rPr>
                <w:sz w:val="19"/>
                <w:szCs w:val="19"/>
                <w:color w:val="auto"/>
              </w:rPr>
            </w:pPr>
          </w:p>
        </w:tc>
        <w:tc>
          <w:tcPr>
            <w:tcW w:w="32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rPr>
              <w:t>Frederik Barfoed Beck</w:t>
            </w: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60" w:type="dxa"/>
            <w:vAlign w:val="bottom"/>
          </w:tcPr>
          <w:p>
            <w:pPr>
              <w:spacing w:after="0"/>
              <w:rPr>
                <w:sz w:val="19"/>
                <w:szCs w:val="19"/>
                <w:color w:val="auto"/>
              </w:rPr>
            </w:pPr>
          </w:p>
        </w:tc>
      </w:tr>
      <w:tr>
        <w:trPr>
          <w:trHeight w:val="427"/>
        </w:trPr>
        <w:tc>
          <w:tcPr>
            <w:tcW w:w="3820" w:type="dxa"/>
            <w:vAlign w:val="bottom"/>
            <w:tcBorders>
              <w:bottom w:val="single" w:sz="8" w:color="auto"/>
            </w:tcBorders>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3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34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September 20, 2022</w:t>
            </w:r>
          </w:p>
        </w:tc>
      </w:tr>
      <w:tr>
        <w:trPr>
          <w:trHeight w:val="228"/>
        </w:trPr>
        <w:tc>
          <w:tcPr>
            <w:tcW w:w="580" w:type="dxa"/>
            <w:vAlign w:val="bottom"/>
          </w:tcPr>
          <w:p>
            <w:pPr>
              <w:spacing w:after="0"/>
              <w:rPr>
                <w:sz w:val="19"/>
                <w:szCs w:val="19"/>
                <w:color w:val="auto"/>
              </w:rPr>
            </w:pPr>
          </w:p>
        </w:tc>
        <w:tc>
          <w:tcPr>
            <w:tcW w:w="32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Louise Gjelstrup</w:t>
            </w: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60" w:type="dxa"/>
            <w:vAlign w:val="bottom"/>
          </w:tcPr>
          <w:p>
            <w:pPr>
              <w:spacing w:after="0"/>
              <w:rPr>
                <w:sz w:val="19"/>
                <w:szCs w:val="19"/>
                <w:color w:val="auto"/>
              </w:rPr>
            </w:pPr>
          </w:p>
        </w:tc>
      </w:tr>
      <w:tr>
        <w:trPr>
          <w:trHeight w:val="427"/>
        </w:trPr>
        <w:tc>
          <w:tcPr>
            <w:tcW w:w="3820" w:type="dxa"/>
            <w:vAlign w:val="bottom"/>
            <w:tcBorders>
              <w:bottom w:val="single" w:sz="8" w:color="auto"/>
            </w:tcBorders>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3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34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September 20, 2022</w:t>
            </w:r>
          </w:p>
        </w:tc>
      </w:tr>
      <w:tr>
        <w:trPr>
          <w:trHeight w:val="228"/>
        </w:trPr>
        <w:tc>
          <w:tcPr>
            <w:tcW w:w="580" w:type="dxa"/>
            <w:vAlign w:val="bottom"/>
          </w:tcPr>
          <w:p>
            <w:pPr>
              <w:spacing w:after="0"/>
              <w:rPr>
                <w:sz w:val="19"/>
                <w:szCs w:val="19"/>
                <w:color w:val="auto"/>
              </w:rPr>
            </w:pPr>
          </w:p>
        </w:tc>
        <w:tc>
          <w:tcPr>
            <w:tcW w:w="32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Anneline Nansen</w:t>
            </w: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60" w:type="dxa"/>
            <w:vAlign w:val="bottom"/>
          </w:tcPr>
          <w:p>
            <w:pPr>
              <w:spacing w:after="0"/>
              <w:rPr>
                <w:sz w:val="19"/>
                <w:szCs w:val="19"/>
                <w:color w:val="auto"/>
              </w:rPr>
            </w:pPr>
          </w:p>
        </w:tc>
      </w:tr>
      <w:tr>
        <w:trPr>
          <w:trHeight w:val="414"/>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 By:  /s/ Ravinder Singh Chahil</w:t>
            </w: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191"/>
        </w:trPr>
        <w:tc>
          <w:tcPr>
            <w:tcW w:w="580" w:type="dxa"/>
            <w:vAlign w:val="bottom"/>
          </w:tcPr>
          <w:p>
            <w:pPr>
              <w:spacing w:after="0"/>
              <w:rPr>
                <w:sz w:val="16"/>
                <w:szCs w:val="16"/>
                <w:color w:val="auto"/>
              </w:rPr>
            </w:pPr>
          </w:p>
        </w:tc>
        <w:tc>
          <w:tcPr>
            <w:tcW w:w="32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Ravinder Singh Chahil</w:t>
            </w:r>
          </w:p>
        </w:tc>
        <w:tc>
          <w:tcPr>
            <w:tcW w:w="12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tcPr>
          <w:p>
            <w:pPr>
              <w:spacing w:after="0"/>
              <w:rPr>
                <w:sz w:val="16"/>
                <w:szCs w:val="16"/>
                <w:color w:val="auto"/>
              </w:rPr>
            </w:pPr>
          </w:p>
        </w:tc>
        <w:tc>
          <w:tcPr>
            <w:tcW w:w="2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60" w:type="dxa"/>
            <w:vAlign w:val="bottom"/>
          </w:tcPr>
          <w:p>
            <w:pPr>
              <w:spacing w:after="0"/>
              <w:rPr>
                <w:sz w:val="16"/>
                <w:szCs w:val="16"/>
                <w:color w:val="auto"/>
              </w:rPr>
            </w:pPr>
          </w:p>
        </w:tc>
      </w:tr>
      <w:tr>
        <w:trPr>
          <w:trHeight w:val="234"/>
        </w:trPr>
        <w:tc>
          <w:tcPr>
            <w:tcW w:w="580" w:type="dxa"/>
            <w:vAlign w:val="bottom"/>
          </w:tcPr>
          <w:p>
            <w:pPr>
              <w:spacing w:after="0"/>
              <w:rPr>
                <w:sz w:val="20"/>
                <w:szCs w:val="20"/>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w:t>
            </w: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60" w:type="dxa"/>
            <w:vAlign w:val="bottom"/>
          </w:tcPr>
          <w:p>
            <w:pPr>
              <w:spacing w:after="0"/>
              <w:rPr>
                <w:sz w:val="20"/>
                <w:szCs w:val="20"/>
                <w:color w:val="auto"/>
              </w:rPr>
            </w:pPr>
          </w:p>
        </w:tc>
      </w:tr>
      <w:tr>
        <w:trPr>
          <w:trHeight w:val="648"/>
        </w:trPr>
        <w:tc>
          <w:tcPr>
            <w:tcW w:w="58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3"/>
          </w:tcPr>
          <w:p>
            <w:pPr>
              <w:jc w:val="right"/>
              <w:ind w:right="191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27" w:right="3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 OF AUTHORIZED REPRESENTATIVE IN THE UNITED STATES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Securities Act of 1933, as amended, the undersigned, the duly authorized representative in the United States of the registrant, has signed this registration statement or amendment thereto on September 20, 2022.</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Zealand Pharma U.S., Inc.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Adam Steensberg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Adam Steensberg</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18" Type="http://schemas.openxmlformats.org/officeDocument/2006/relationships/hyperlink" Target="https://www.sec.gov/Archives/edgar/data/1674988/000110465921122205/tm2128845d1_s8.htm" TargetMode="External"/><Relationship Id="rId19" Type="http://schemas.openxmlformats.org/officeDocument/2006/relationships/hyperlink" Target="https://www.sec.gov/Archives/edgar/data/1674988/000110465922064843/tm2216950d1_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2022-09-20T16:22:45Z</dcterms:created>
  <dcterms:modified xsi:type="dcterms:W3CDTF">2022-09-20T16:22:45Z</dcterms:modified>
</cp:coreProperties>
</file>