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201295</wp:posOffset>
            </wp:positionH>
            <wp:positionV relativeFrom="page">
              <wp:posOffset>211455</wp:posOffset>
            </wp:positionV>
            <wp:extent cx="714692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6925" cy="22860"/>
                    </a:xfrm>
                    <a:prstGeom prst="rect">
                      <a:avLst/>
                    </a:prstGeom>
                    <a:noFill/>
                  </pic:spPr>
                </pic:pic>
              </a:graphicData>
            </a:graphic>
          </wp:anchor>
        </w:drawing>
        <w:drawing>
          <wp:anchor simplePos="0" relativeHeight="251657728" behindDoc="1" locked="0" layoutInCell="0" allowOverlap="1">
            <wp:simplePos x="0" y="0"/>
            <wp:positionH relativeFrom="page">
              <wp:posOffset>201295</wp:posOffset>
            </wp:positionH>
            <wp:positionV relativeFrom="page">
              <wp:posOffset>242570</wp:posOffset>
            </wp:positionV>
            <wp:extent cx="714692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6925" cy="7620"/>
                    </a:xfrm>
                    <a:prstGeom prst="rect">
                      <a:avLst/>
                    </a:prstGeom>
                    <a:noFill/>
                  </pic:spPr>
                </pic:pic>
              </a:graphicData>
            </a:graphic>
          </wp:anchor>
        </w:drawing>
        <w:t>UNITED STATES</w:t>
      </w:r>
    </w:p>
    <w:p>
      <w:pPr>
        <w:spacing w:after="0" w:line="23" w:lineRule="exact"/>
        <w:rPr>
          <w:sz w:val="24"/>
          <w:szCs w:val="24"/>
          <w:color w:val="auto"/>
        </w:rPr>
      </w:pPr>
    </w:p>
    <w:p>
      <w:pPr>
        <w:jc w:val="center"/>
        <w:ind w:right="-519"/>
        <w:spacing w:after="0"/>
        <w:rPr>
          <w:sz w:val="20"/>
          <w:szCs w:val="20"/>
          <w:color w:val="auto"/>
        </w:rPr>
      </w:pPr>
      <w:r>
        <w:rPr>
          <w:rFonts w:ascii="Arial" w:cs="Arial" w:eastAsia="Arial" w:hAnsi="Arial"/>
          <w:sz w:val="29"/>
          <w:szCs w:val="29"/>
          <w:b w:val="1"/>
          <w:bCs w:val="1"/>
          <w:color w:val="auto"/>
        </w:rPr>
        <w:t>SECURITIES AND EXCHANGE COMMISSION</w:t>
      </w:r>
    </w:p>
    <w:p>
      <w:pPr>
        <w:ind w:left="4800"/>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158115</wp:posOffset>
            </wp:positionV>
            <wp:extent cx="178689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6890" cy="762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ind w:left="4920"/>
        <w:spacing w:after="0"/>
        <w:rPr>
          <w:sz w:val="20"/>
          <w:szCs w:val="20"/>
          <w:color w:val="auto"/>
        </w:rPr>
      </w:pPr>
      <w:r>
        <w:rPr>
          <w:rFonts w:ascii="Arial" w:cs="Arial" w:eastAsia="Arial" w:hAnsi="Arial"/>
          <w:sz w:val="29"/>
          <w:szCs w:val="29"/>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172085</wp:posOffset>
            </wp:positionV>
            <wp:extent cx="178689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6890" cy="762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519"/>
        <w:spacing w:after="0"/>
        <w:rPr>
          <w:sz w:val="20"/>
          <w:szCs w:val="20"/>
          <w:color w:val="auto"/>
        </w:rPr>
      </w:pPr>
      <w:r>
        <w:rPr>
          <w:rFonts w:ascii="Arial" w:cs="Arial" w:eastAsia="Arial" w:hAnsi="Arial"/>
          <w:sz w:val="16"/>
          <w:szCs w:val="16"/>
          <w:b w:val="1"/>
          <w:bCs w:val="1"/>
          <w:color w:val="auto"/>
        </w:rPr>
        <w:t>REPORT OF FOREIGN PRIVATE ISSUER</w:t>
      </w:r>
    </w:p>
    <w:p>
      <w:pPr>
        <w:spacing w:after="0" w:line="25" w:lineRule="exact"/>
        <w:rPr>
          <w:sz w:val="24"/>
          <w:szCs w:val="24"/>
          <w:color w:val="auto"/>
        </w:rPr>
      </w:pPr>
    </w:p>
    <w:p>
      <w:pPr>
        <w:jc w:val="center"/>
        <w:ind w:right="-519"/>
        <w:spacing w:after="0"/>
        <w:rPr>
          <w:sz w:val="20"/>
          <w:szCs w:val="20"/>
          <w:color w:val="auto"/>
        </w:rPr>
      </w:pPr>
      <w:r>
        <w:rPr>
          <w:rFonts w:ascii="Arial" w:cs="Arial" w:eastAsia="Arial" w:hAnsi="Arial"/>
          <w:sz w:val="16"/>
          <w:szCs w:val="16"/>
          <w:b w:val="1"/>
          <w:bCs w:val="1"/>
          <w:color w:val="auto"/>
        </w:rPr>
        <w:t>PURSUANT TO RULE 13a-16 OR 15d-16</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186" w:lineRule="exact"/>
        <w:rPr>
          <w:sz w:val="24"/>
          <w:szCs w:val="24"/>
          <w:color w:val="auto"/>
        </w:rPr>
      </w:pPr>
    </w:p>
    <w:p>
      <w:pPr>
        <w:ind w:left="5180"/>
        <w:spacing w:after="0"/>
        <w:rPr>
          <w:sz w:val="20"/>
          <w:szCs w:val="20"/>
          <w:color w:val="auto"/>
        </w:rPr>
      </w:pPr>
      <w:r>
        <w:rPr>
          <w:rFonts w:ascii="Arial" w:cs="Arial" w:eastAsia="Arial" w:hAnsi="Arial"/>
          <w:sz w:val="16"/>
          <w:szCs w:val="16"/>
          <w:b w:val="1"/>
          <w:bCs w:val="1"/>
          <w:color w:val="auto"/>
        </w:rPr>
        <w:t>April 8,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169545</wp:posOffset>
            </wp:positionV>
            <wp:extent cx="17868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6890" cy="762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ind w:left="4300"/>
        <w:spacing w:after="0"/>
        <w:rPr>
          <w:sz w:val="20"/>
          <w:szCs w:val="20"/>
          <w:color w:val="auto"/>
        </w:rPr>
      </w:pPr>
      <w:r>
        <w:rPr>
          <w:rFonts w:ascii="Arial" w:cs="Arial" w:eastAsia="Arial" w:hAnsi="Arial"/>
          <w:sz w:val="16"/>
          <w:szCs w:val="16"/>
          <w:b w:val="1"/>
          <w:bCs w:val="1"/>
          <w:color w:val="auto"/>
        </w:rPr>
        <w:t>Commission File Number: 001 - 38178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169545</wp:posOffset>
            </wp:positionV>
            <wp:extent cx="178689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6890" cy="7620"/>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519"/>
        <w:spacing w:after="0"/>
        <w:rPr>
          <w:sz w:val="20"/>
          <w:szCs w:val="20"/>
          <w:color w:val="auto"/>
        </w:rPr>
      </w:pPr>
      <w:r>
        <w:rPr>
          <w:rFonts w:ascii="Arial" w:cs="Arial" w:eastAsia="Arial" w:hAnsi="Arial"/>
          <w:sz w:val="29"/>
          <w:szCs w:val="29"/>
          <w:b w:val="1"/>
          <w:bCs w:val="1"/>
          <w:color w:val="auto"/>
        </w:rPr>
        <w:t>Zealand Pharma A/S</w:t>
      </w:r>
    </w:p>
    <w:p>
      <w:pPr>
        <w:spacing w:after="0" w:line="31" w:lineRule="exact"/>
        <w:rPr>
          <w:sz w:val="24"/>
          <w:szCs w:val="24"/>
          <w:color w:val="auto"/>
        </w:rPr>
      </w:pPr>
    </w:p>
    <w:p>
      <w:pPr>
        <w:ind w:left="3880"/>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158115</wp:posOffset>
            </wp:positionV>
            <wp:extent cx="178689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6890" cy="762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jc w:val="center"/>
        <w:ind w:right="-519"/>
        <w:spacing w:after="0"/>
        <w:rPr>
          <w:sz w:val="20"/>
          <w:szCs w:val="20"/>
          <w:color w:val="auto"/>
        </w:rPr>
      </w:pPr>
      <w:r>
        <w:rPr>
          <w:rFonts w:ascii="Arial" w:cs="Arial" w:eastAsia="Arial" w:hAnsi="Arial"/>
          <w:sz w:val="16"/>
          <w:szCs w:val="16"/>
          <w:b w:val="1"/>
          <w:bCs w:val="1"/>
          <w:color w:val="auto"/>
        </w:rPr>
        <w:t>Sydmarken 11</w:t>
      </w:r>
    </w:p>
    <w:p>
      <w:pPr>
        <w:spacing w:after="0" w:line="25" w:lineRule="exact"/>
        <w:rPr>
          <w:sz w:val="24"/>
          <w:szCs w:val="24"/>
          <w:color w:val="auto"/>
        </w:rPr>
      </w:pPr>
    </w:p>
    <w:p>
      <w:pPr>
        <w:jc w:val="center"/>
        <w:ind w:right="-519"/>
        <w:spacing w:after="0"/>
        <w:rPr>
          <w:sz w:val="20"/>
          <w:szCs w:val="20"/>
          <w:color w:val="auto"/>
        </w:rPr>
      </w:pPr>
      <w:r>
        <w:rPr>
          <w:rFonts w:ascii="Arial" w:cs="Arial" w:eastAsia="Arial" w:hAnsi="Arial"/>
          <w:sz w:val="16"/>
          <w:szCs w:val="16"/>
          <w:b w:val="1"/>
          <w:bCs w:val="1"/>
          <w:color w:val="auto"/>
        </w:rPr>
        <w:t>2860 Søborg (Copenhagen)</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6"/>
          <w:szCs w:val="16"/>
          <w:b w:val="1"/>
          <w:bCs w:val="1"/>
          <w:color w:val="auto"/>
        </w:rPr>
        <w:t>Denmark</w:t>
      </w:r>
    </w:p>
    <w:p>
      <w:pPr>
        <w:spacing w:after="0" w:line="9" w:lineRule="exact"/>
        <w:rPr>
          <w:sz w:val="24"/>
          <w:szCs w:val="24"/>
          <w:color w:val="auto"/>
        </w:rPr>
      </w:pPr>
    </w:p>
    <w:p>
      <w:pPr>
        <w:jc w:val="center"/>
        <w:ind w:right="-519"/>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159385</wp:posOffset>
            </wp:positionV>
            <wp:extent cx="178689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6890" cy="762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of Form 20-F or Form 40-F.</w:t>
      </w:r>
    </w:p>
    <w:p>
      <w:pPr>
        <w:spacing w:after="0" w:line="172" w:lineRule="exact"/>
        <w:rPr>
          <w:sz w:val="24"/>
          <w:szCs w:val="24"/>
          <w:color w:val="auto"/>
        </w:rPr>
      </w:pPr>
    </w:p>
    <w:p>
      <w:pPr>
        <w:ind w:left="4500"/>
        <w:spacing w:after="0" w:line="184" w:lineRule="exact"/>
        <w:tabs>
          <w:tab w:leader="none" w:pos="5840" w:val="left"/>
        </w:tabs>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 xml:space="preserve">Form 40-F </w:t>
      </w:r>
      <w:r>
        <w:rPr>
          <w:rFonts w:ascii="MS PGothic" w:cs="MS PGothic" w:eastAsia="MS PGothic" w:hAnsi="MS PGothic"/>
          <w:sz w:val="14"/>
          <w:szCs w:val="14"/>
          <w:color w:val="auto"/>
        </w:rPr>
        <w:t>☐</w:t>
      </w:r>
    </w:p>
    <w:p>
      <w:pPr>
        <w:spacing w:after="0" w:line="20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02"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32" w:lineRule="exact"/>
        <w:rPr>
          <w:sz w:val="24"/>
          <w:szCs w:val="24"/>
          <w:color w:val="auto"/>
        </w:rPr>
      </w:pPr>
    </w:p>
    <w:p>
      <w:pPr>
        <w:spacing w:after="0" w:line="354" w:lineRule="auto"/>
        <w:rPr>
          <w:sz w:val="20"/>
          <w:szCs w:val="20"/>
          <w:color w:val="auto"/>
        </w:rPr>
      </w:pPr>
      <w:r>
        <w:rPr>
          <w:rFonts w:ascii="Arial" w:cs="Arial" w:eastAsia="Arial" w:hAnsi="Arial"/>
          <w:sz w:val="14"/>
          <w:szCs w:val="14"/>
          <w:color w:val="auto"/>
        </w:rPr>
        <w:t>Furnished as Exhibit 99.1 to this Report on Form 6-K is a company announcement of Zealand Pharma A/S or the Company, dated April 8, 2020, confirming receipt of information on transactions in the Company’s shares or related securities by persons discharging managerial responsibilities and/or their closely associated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105410</wp:posOffset>
            </wp:positionV>
            <wp:extent cx="714692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692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120650</wp:posOffset>
            </wp:positionV>
            <wp:extent cx="7146925" cy="228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6925" cy="2286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403860</wp:posOffset>
            </wp:positionV>
            <wp:extent cx="714692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0720"/>
          </w:cols>
          <w:pgMar w:left="320" w:top="622" w:right="859" w:bottom="1440" w:gutter="0" w:footer="0" w:header="0"/>
        </w:sectPr>
      </w:pPr>
    </w:p>
    <w:bookmarkStart w:id="1" w:name="page2"/>
    <w:bookmarkEnd w:id="1"/>
    <w:p>
      <w:pPr>
        <w:jc w:val="center"/>
        <w:ind w:right="-159"/>
        <w:spacing w:after="0"/>
        <w:rPr>
          <w:sz w:val="20"/>
          <w:szCs w:val="20"/>
          <w:color w:val="auto"/>
        </w:rPr>
      </w:pPr>
      <w:r>
        <w:rPr>
          <w:rFonts w:ascii="Arial" w:cs="Arial" w:eastAsia="Arial" w:hAnsi="Arial"/>
          <w:sz w:val="16"/>
          <w:szCs w:val="16"/>
          <w:color w:val="auto"/>
        </w:rPr>
        <w:t>SIGNATURE</w:t>
      </w:r>
    </w:p>
    <w:p>
      <w:pPr>
        <w:spacing w:after="0" w:line="202" w:lineRule="exact"/>
        <w:rPr>
          <w:sz w:val="20"/>
          <w:szCs w:val="20"/>
          <w:color w:val="auto"/>
        </w:rPr>
      </w:pPr>
    </w:p>
    <w:p>
      <w:pPr>
        <w:ind w:firstLine="394"/>
        <w:spacing w:after="0" w:line="280"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0"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Zealand Pharma A/S</w:t>
      </w:r>
    </w:p>
    <w:p>
      <w:pPr>
        <w:spacing w:after="0" w:line="202"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By:  /s/ Matthew Dallas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3793490</wp:posOffset>
            </wp:positionH>
            <wp:positionV relativeFrom="paragraph">
              <wp:posOffset>13970</wp:posOffset>
            </wp:positionV>
            <wp:extent cx="3350895"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0895" cy="7620"/>
                    </a:xfrm>
                    <a:prstGeom prst="rect">
                      <a:avLst/>
                    </a:prstGeom>
                    <a:noFill/>
                  </pic:spPr>
                </pic:pic>
              </a:graphicData>
            </a:graphic>
          </wp:anchor>
        </w:drawing>
      </w:r>
    </w:p>
    <w:p>
      <w:pPr>
        <w:spacing w:after="0" w:line="195"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6"/>
          <w:szCs w:val="16"/>
          <w:color w:val="auto"/>
        </w:rPr>
        <w:t>Name:</w:t>
      </w:r>
      <w:r>
        <w:rPr>
          <w:sz w:val="20"/>
          <w:szCs w:val="20"/>
          <w:color w:val="auto"/>
        </w:rPr>
        <w:tab/>
      </w:r>
      <w:r>
        <w:rPr>
          <w:rFonts w:ascii="Arial" w:cs="Arial" w:eastAsia="Arial" w:hAnsi="Arial"/>
          <w:sz w:val="15"/>
          <w:szCs w:val="15"/>
          <w:color w:val="auto"/>
        </w:rPr>
        <w:t>Matthew Dallas</w:t>
      </w:r>
    </w:p>
    <w:p>
      <w:pPr>
        <w:spacing w:after="0" w:line="21"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6"/>
          <w:szCs w:val="16"/>
          <w:color w:val="auto"/>
        </w:rPr>
        <w:t>Title:</w:t>
        <w:tab/>
        <w:t>Chief Financial Officer</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Date: April 8, 2020</w:t>
      </w:r>
    </w:p>
    <w:p>
      <w:pPr>
        <w:spacing w:after="0" w:line="396"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13970</wp:posOffset>
            </wp:positionV>
            <wp:extent cx="7146925"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100"/>
          </w:cols>
          <w:pgMar w:left="320" w:top="827"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9"/>
        </w:trPr>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40" w:type="dxa"/>
            <w:vAlign w:val="bottom"/>
          </w:tcPr>
          <w:p>
            <w:pPr>
              <w:ind w:left="3980"/>
              <w:spacing w:after="0"/>
              <w:rPr>
                <w:sz w:val="20"/>
                <w:szCs w:val="20"/>
                <w:color w:val="auto"/>
              </w:rPr>
            </w:pPr>
            <w:r>
              <w:rPr>
                <w:rFonts w:ascii="Arial" w:cs="Arial" w:eastAsia="Arial" w:hAnsi="Arial"/>
                <w:sz w:val="16"/>
                <w:szCs w:val="16"/>
                <w:b w:val="1"/>
                <w:bCs w:val="1"/>
                <w:color w:val="auto"/>
              </w:rPr>
              <w:t>EXHIBIT INDEX</w:t>
            </w:r>
          </w:p>
        </w:tc>
      </w:tr>
      <w:tr>
        <w:trPr>
          <w:trHeight w:val="370"/>
        </w:trPr>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10240" w:type="dxa"/>
            <w:vAlign w:val="bottom"/>
          </w:tcPr>
          <w:p>
            <w:pPr>
              <w:spacing w:after="0"/>
              <w:rPr>
                <w:sz w:val="24"/>
                <w:szCs w:val="24"/>
                <w:color w:val="auto"/>
              </w:rPr>
            </w:pPr>
          </w:p>
        </w:tc>
      </w:tr>
      <w:tr>
        <w:trPr>
          <w:trHeight w:val="210"/>
        </w:trPr>
        <w:tc>
          <w:tcPr>
            <w:tcW w:w="1020" w:type="dxa"/>
            <w:vAlign w:val="bottom"/>
            <w:gridSpan w:val="2"/>
          </w:tcPr>
          <w:p>
            <w:pPr>
              <w:spacing w:after="0"/>
              <w:rPr>
                <w:sz w:val="20"/>
                <w:szCs w:val="20"/>
                <w:color w:val="auto"/>
              </w:rPr>
            </w:pPr>
            <w:r>
              <w:rPr>
                <w:rFonts w:ascii="Arial" w:cs="Arial" w:eastAsia="Arial" w:hAnsi="Arial"/>
                <w:sz w:val="16"/>
                <w:szCs w:val="16"/>
                <w:b w:val="1"/>
                <w:bCs w:val="1"/>
                <w:color w:val="auto"/>
              </w:rPr>
              <w:t>No.</w:t>
            </w:r>
          </w:p>
        </w:tc>
        <w:tc>
          <w:tcPr>
            <w:tcW w:w="10240" w:type="dxa"/>
            <w:vAlign w:val="bottom"/>
          </w:tcPr>
          <w:p>
            <w:pPr>
              <w:ind w:left="4720"/>
              <w:spacing w:after="0"/>
              <w:rPr>
                <w:sz w:val="20"/>
                <w:szCs w:val="20"/>
                <w:color w:val="auto"/>
              </w:rPr>
            </w:pPr>
            <w:r>
              <w:rPr>
                <w:rFonts w:ascii="Arial" w:cs="Arial" w:eastAsia="Arial" w:hAnsi="Arial"/>
                <w:sz w:val="16"/>
                <w:szCs w:val="16"/>
                <w:b w:val="1"/>
                <w:bCs w:val="1"/>
                <w:color w:val="auto"/>
              </w:rPr>
              <w:t>Description</w:t>
            </w:r>
          </w:p>
        </w:tc>
      </w:tr>
      <w:tr>
        <w:trPr>
          <w:trHeight w:val="378"/>
        </w:trPr>
        <w:tc>
          <w:tcPr>
            <w:tcW w:w="900" w:type="dxa"/>
            <w:vAlign w:val="bottom"/>
            <w:tcBorders>
              <w:top w:val="single" w:sz="8" w:color="auto"/>
            </w:tcBorders>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99.1</w:t>
              </w:r>
            </w:hyperlink>
          </w:p>
        </w:tc>
        <w:tc>
          <w:tcPr>
            <w:tcW w:w="120" w:type="dxa"/>
            <w:vAlign w:val="bottom"/>
          </w:tcPr>
          <w:p>
            <w:pPr>
              <w:spacing w:after="0"/>
              <w:rPr>
                <w:sz w:val="24"/>
                <w:szCs w:val="24"/>
                <w:color w:val="auto"/>
              </w:rPr>
            </w:pPr>
          </w:p>
        </w:tc>
        <w:tc>
          <w:tcPr>
            <w:tcW w:w="10240" w:type="dxa"/>
            <w:vAlign w:val="bottom"/>
            <w:tcBorders>
              <w:top w:val="single" w:sz="8" w:color="auto"/>
            </w:tcBorders>
          </w:tcPr>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Company announcement dated April 8, 2020</w:t>
              </w:r>
            </w:hyperlink>
          </w:p>
        </w:tc>
      </w:tr>
      <w:tr>
        <w:trPr>
          <w:trHeight w:val="386"/>
        </w:trPr>
        <w:tc>
          <w:tcPr>
            <w:tcW w:w="900" w:type="dxa"/>
            <w:vAlign w:val="bottom"/>
          </w:tcPr>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99.2</w:t>
              </w:r>
            </w:hyperlink>
          </w:p>
        </w:tc>
        <w:tc>
          <w:tcPr>
            <w:tcW w:w="120" w:type="dxa"/>
            <w:vAlign w:val="bottom"/>
          </w:tcPr>
          <w:p>
            <w:pPr>
              <w:spacing w:after="0"/>
              <w:rPr>
                <w:sz w:val="24"/>
                <w:szCs w:val="24"/>
                <w:color w:val="auto"/>
              </w:rPr>
            </w:pPr>
          </w:p>
        </w:tc>
        <w:tc>
          <w:tcPr>
            <w:tcW w:w="10240" w:type="dxa"/>
            <w:vAlign w:val="bottom"/>
          </w:tcPr>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Notification of sale of shares: A. Steensberg 2020Apr02</w:t>
              </w:r>
            </w:hyperlink>
          </w:p>
        </w:tc>
      </w:tr>
      <w:tr>
        <w:trPr>
          <w:trHeight w:val="386"/>
        </w:trPr>
        <w:tc>
          <w:tcPr>
            <w:tcW w:w="900" w:type="dxa"/>
            <w:vAlign w:val="bottom"/>
          </w:tcPr>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99.3</w:t>
              </w:r>
            </w:hyperlink>
          </w:p>
        </w:tc>
        <w:tc>
          <w:tcPr>
            <w:tcW w:w="120" w:type="dxa"/>
            <w:vAlign w:val="bottom"/>
          </w:tcPr>
          <w:p>
            <w:pPr>
              <w:spacing w:after="0"/>
              <w:rPr>
                <w:sz w:val="24"/>
                <w:szCs w:val="24"/>
                <w:color w:val="auto"/>
              </w:rPr>
            </w:pPr>
          </w:p>
        </w:tc>
        <w:tc>
          <w:tcPr>
            <w:tcW w:w="10240" w:type="dxa"/>
            <w:vAlign w:val="bottom"/>
          </w:tcPr>
          <w:p>
            <w:pPr>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Notification of sale of shares: A. Steensberg 2020Apr03</w:t>
              </w:r>
            </w:hyperlink>
          </w:p>
        </w:tc>
      </w:tr>
      <w:tr>
        <w:trPr>
          <w:trHeight w:val="386"/>
        </w:trPr>
        <w:tc>
          <w:tcPr>
            <w:tcW w:w="900" w:type="dxa"/>
            <w:vAlign w:val="bottom"/>
          </w:tcPr>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99.4</w:t>
              </w:r>
            </w:hyperlink>
          </w:p>
        </w:tc>
        <w:tc>
          <w:tcPr>
            <w:tcW w:w="120" w:type="dxa"/>
            <w:vAlign w:val="bottom"/>
          </w:tcPr>
          <w:p>
            <w:pPr>
              <w:spacing w:after="0"/>
              <w:rPr>
                <w:sz w:val="24"/>
                <w:szCs w:val="24"/>
                <w:color w:val="auto"/>
              </w:rPr>
            </w:pPr>
          </w:p>
        </w:tc>
        <w:tc>
          <w:tcPr>
            <w:tcW w:w="10240" w:type="dxa"/>
            <w:vAlign w:val="bottom"/>
          </w:tcPr>
          <w:p>
            <w:pPr>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Notification of sale of shares: A. Steensberg 2020Apr06</w:t>
              </w:r>
            </w:hyperlink>
          </w:p>
        </w:tc>
      </w:tr>
      <w:tr>
        <w:trPr>
          <w:trHeight w:val="580"/>
        </w:trPr>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40" w:type="dxa"/>
            <w:vAlign w:val="bottom"/>
            <w:tcBorders>
              <w:bottom w:val="single" w:sz="8" w:color="auto"/>
            </w:tcBorders>
          </w:tcPr>
          <w:p>
            <w:pPr>
              <w:ind w:left="4560"/>
              <w:spacing w:after="0"/>
              <w:rPr>
                <w:sz w:val="20"/>
                <w:szCs w:val="20"/>
                <w:color w:val="auto"/>
              </w:rPr>
            </w:pPr>
            <w:r>
              <w:rPr>
                <w:rFonts w:ascii="Arial" w:cs="Arial" w:eastAsia="Arial" w:hAnsi="Arial"/>
                <w:sz w:val="16"/>
                <w:szCs w:val="16"/>
                <w:color w:val="auto"/>
              </w:rPr>
              <w:t>3</w:t>
            </w:r>
          </w:p>
        </w:tc>
      </w:tr>
    </w:tbl>
    <w:p>
      <w:pPr>
        <w:sectPr>
          <w:pgSz w:w="11900" w:h="16838" w:orient="portrait"/>
          <w:cols w:equalWidth="0" w:num="1">
            <w:col w:w="11260"/>
          </w:cols>
          <w:pgMar w:left="320" w:top="823" w:right="31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5702935</wp:posOffset>
            </wp:positionH>
            <wp:positionV relativeFrom="paragraph">
              <wp:posOffset>139065</wp:posOffset>
            </wp:positionV>
            <wp:extent cx="1441450" cy="5829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4145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color w:val="auto"/>
        </w:rPr>
        <w:t>Company announcement – No. 18 / 2020</w:t>
      </w:r>
    </w:p>
    <w:p>
      <w:pPr>
        <w:spacing w:after="0" w:line="198" w:lineRule="exact"/>
        <w:rPr>
          <w:sz w:val="20"/>
          <w:szCs w:val="20"/>
          <w:color w:val="auto"/>
        </w:rPr>
      </w:pPr>
    </w:p>
    <w:p>
      <w:pPr>
        <w:spacing w:after="0"/>
        <w:rPr>
          <w:sz w:val="20"/>
          <w:szCs w:val="20"/>
          <w:color w:val="auto"/>
        </w:rPr>
      </w:pPr>
      <w:r>
        <w:rPr>
          <w:rFonts w:ascii="Arial" w:cs="Arial" w:eastAsia="Arial" w:hAnsi="Arial"/>
          <w:sz w:val="15"/>
          <w:szCs w:val="15"/>
          <w:b w:val="1"/>
          <w:bCs w:val="1"/>
          <w:color w:val="262626"/>
        </w:rPr>
        <w:t>Transactions in Zealand Pharma shares and/or related securities by persons discharging managerial responsibilities and/or their closely associated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31115</wp:posOffset>
            </wp:positionV>
            <wp:extent cx="7146925" cy="457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6925" cy="45720"/>
                    </a:xfrm>
                    <a:prstGeom prst="rect">
                      <a:avLst/>
                    </a:prstGeom>
                    <a:noFill/>
                  </pic:spPr>
                </pic:pic>
              </a:graphicData>
            </a:graphic>
          </wp:anchor>
        </w:drawing>
      </w:r>
    </w:p>
    <w:p>
      <w:pPr>
        <w:spacing w:after="0" w:line="282" w:lineRule="exact"/>
        <w:rPr>
          <w:sz w:val="20"/>
          <w:szCs w:val="20"/>
          <w:color w:val="auto"/>
        </w:rPr>
      </w:pPr>
    </w:p>
    <w:p>
      <w:pPr>
        <w:ind w:right="280"/>
        <w:spacing w:after="0" w:line="266" w:lineRule="auto"/>
        <w:rPr>
          <w:sz w:val="20"/>
          <w:szCs w:val="20"/>
          <w:color w:val="auto"/>
        </w:rPr>
      </w:pPr>
      <w:r>
        <w:rPr>
          <w:rFonts w:ascii="Arial" w:cs="Arial" w:eastAsia="Arial" w:hAnsi="Arial"/>
          <w:sz w:val="16"/>
          <w:szCs w:val="16"/>
          <w:i w:val="1"/>
          <w:iCs w:val="1"/>
          <w:color w:val="auto"/>
        </w:rPr>
        <w:t xml:space="preserve">Copenhagen, April 8, 2020 – </w:t>
      </w:r>
      <w:r>
        <w:rPr>
          <w:rFonts w:ascii="Arial" w:cs="Arial" w:eastAsia="Arial" w:hAnsi="Arial"/>
          <w:sz w:val="16"/>
          <w:szCs w:val="16"/>
          <w:color w:val="auto"/>
        </w:rPr>
        <w:t>Zealand Pharma A/S (“Zealand”) (NASDAQ: ZEAL) (CVR-no. 20 04 50 78) has received information on transactions in Zealand's shares or</w:t>
      </w:r>
      <w:r>
        <w:rPr>
          <w:rFonts w:ascii="Arial" w:cs="Arial" w:eastAsia="Arial" w:hAnsi="Arial"/>
          <w:sz w:val="16"/>
          <w:szCs w:val="16"/>
          <w:i w:val="1"/>
          <w:iCs w:val="1"/>
          <w:color w:val="auto"/>
        </w:rPr>
        <w:t xml:space="preserve"> </w:t>
      </w:r>
      <w:r>
        <w:rPr>
          <w:rFonts w:ascii="Arial" w:cs="Arial" w:eastAsia="Arial" w:hAnsi="Arial"/>
          <w:sz w:val="16"/>
          <w:szCs w:val="16"/>
          <w:color w:val="auto"/>
        </w:rPr>
        <w:t>related securities conducted by persons discharging managerial responsibilities and/or their closely associated persons and hereby publishes the information on such transactions.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Please see the attached files.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365CA2"/>
        </w:rPr>
        <w:t>For further information, please contact:</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Zealand Pharma Investor Relations</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+45 50 60 38 00 </w:t>
      </w:r>
      <w:r>
        <w:rPr>
          <w:rFonts w:ascii="Arial" w:cs="Arial" w:eastAsia="Arial" w:hAnsi="Arial"/>
          <w:sz w:val="16"/>
          <w:szCs w:val="16"/>
          <w:u w:val="single" w:color="auto"/>
          <w:color w:val="auto"/>
        </w:rPr>
        <w:t>investors@zealandpharma.com</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Lani Pollworth Morvan</w:t>
      </w:r>
      <w:r>
        <w:rPr>
          <w:rFonts w:ascii="Arial" w:cs="Arial" w:eastAsia="Arial" w:hAnsi="Arial"/>
          <w:sz w:val="16"/>
          <w:szCs w:val="16"/>
          <w:color w:val="auto"/>
        </w:rPr>
        <w:t>, Investor Relations and Communication</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lpm@zealandpharma.com</w:t>
      </w:r>
    </w:p>
    <w:p>
      <w:pPr>
        <w:spacing w:after="0" w:line="3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Zealand Pharma A/S</w:t>
      </w:r>
    </w:p>
    <w:p>
      <w:pPr>
        <w:spacing w:after="0" w:line="206" w:lineRule="exact"/>
        <w:rPr>
          <w:sz w:val="20"/>
          <w:szCs w:val="20"/>
          <w:color w:val="auto"/>
        </w:rPr>
      </w:pPr>
    </w:p>
    <w:p>
      <w:pPr>
        <w:ind w:right="80"/>
        <w:spacing w:after="0" w:line="261" w:lineRule="auto"/>
        <w:rPr>
          <w:sz w:val="20"/>
          <w:szCs w:val="20"/>
          <w:color w:val="auto"/>
        </w:rPr>
      </w:pPr>
      <w:r>
        <w:rPr>
          <w:rFonts w:ascii="Arial" w:cs="Arial" w:eastAsia="Arial" w:hAnsi="Arial"/>
          <w:sz w:val="16"/>
          <w:szCs w:val="16"/>
          <w:color w:val="auto"/>
        </w:rPr>
        <w:t>Zealand Pharma A/S (Nasdaq Copenhagen and New York: ZEAL) ("Zealand") is a biotechnology company focused on the discovery and development of innovative peptide-based medicines. More than 10 drug candidates invented by Zealand have advanced into clinical development, of which two have reached the market. Zealand’s current pipeline of internal product candidates focus on specialty gastrointestinal and metabolic diseases. Zealand’s portfolio also includes clinical license collaboration with Boehringer Ingelheim and pre-clinical license collaboration with Alexion Pharmaceuticals.</w:t>
      </w:r>
    </w:p>
    <w:p>
      <w:pPr>
        <w:spacing w:after="0" w:line="166" w:lineRule="exact"/>
        <w:rPr>
          <w:sz w:val="20"/>
          <w:szCs w:val="20"/>
          <w:color w:val="auto"/>
        </w:rPr>
      </w:pPr>
    </w:p>
    <w:p>
      <w:pPr>
        <w:ind w:right="20"/>
        <w:spacing w:after="0" w:line="280" w:lineRule="auto"/>
        <w:rPr>
          <w:sz w:val="20"/>
          <w:szCs w:val="20"/>
          <w:color w:val="auto"/>
        </w:rPr>
      </w:pPr>
      <w:r>
        <w:rPr>
          <w:rFonts w:ascii="Arial" w:cs="Arial" w:eastAsia="Arial" w:hAnsi="Arial"/>
          <w:sz w:val="16"/>
          <w:szCs w:val="16"/>
          <w:color w:val="auto"/>
        </w:rPr>
        <w:t xml:space="preserve">Zealand is based in Copenhagen (Søborg), Denmark. For further information about the Company's business and activities, please visit </w:t>
      </w:r>
      <w:r>
        <w:rPr>
          <w:rFonts w:ascii="Arial" w:cs="Arial" w:eastAsia="Arial" w:hAnsi="Arial"/>
          <w:sz w:val="16"/>
          <w:szCs w:val="16"/>
          <w:u w:val="single" w:color="auto"/>
          <w:color w:val="auto"/>
        </w:rPr>
        <w:t>www.zealandpharma.com</w:t>
      </w:r>
      <w:r>
        <w:rPr>
          <w:rFonts w:ascii="Arial" w:cs="Arial" w:eastAsia="Arial" w:hAnsi="Arial"/>
          <w:sz w:val="16"/>
          <w:szCs w:val="16"/>
          <w:color w:val="auto"/>
        </w:rPr>
        <w:t xml:space="preserve"> or follow Zealand on LinkedIn or Twitter @ZealandPharma.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387350</wp:posOffset>
            </wp:positionV>
            <wp:extent cx="7146925"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6925" cy="7620"/>
                    </a:xfrm>
                    <a:prstGeom prst="rect">
                      <a:avLst/>
                    </a:prstGeom>
                    <a:noFill/>
                  </pic:spPr>
                </pic:pic>
              </a:graphicData>
            </a:graphic>
          </wp:anchor>
        </w:drawing>
      </w:r>
    </w:p>
    <w:p>
      <w:pPr>
        <w:sectPr>
          <w:pgSz w:w="11900" w:h="16838" w:orient="portrait"/>
          <w:cols w:equalWidth="0" w:num="1">
            <w:col w:w="11260"/>
          </w:cols>
          <w:pgMar w:left="320" w:top="340" w:right="319" w:bottom="1440" w:gutter="0" w:footer="0" w:header="0"/>
        </w:sectPr>
      </w:pPr>
    </w:p>
    <w:bookmarkStart w:id="4" w:name="page5"/>
    <w:bookmarkEnd w:id="4"/>
    <w:p>
      <w:pPr>
        <w:ind w:left="914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29210</wp:posOffset>
            </wp:positionV>
            <wp:extent cx="7146925" cy="85267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6925" cy="8526780"/>
                    </a:xfrm>
                    <a:prstGeom prst="rect">
                      <a:avLst/>
                    </a:prstGeom>
                    <a:noFill/>
                  </pic:spPr>
                </pic:pic>
              </a:graphicData>
            </a:graphic>
          </wp:anchor>
        </w:drawing>
      </w:r>
    </w:p>
    <w:p>
      <w:pPr>
        <w:sectPr>
          <w:pgSz w:w="11900" w:h="16838" w:orient="portrait"/>
          <w:cols w:equalWidth="0" w:num="1">
            <w:col w:w="10140"/>
          </w:cols>
          <w:pgMar w:left="1440" w:top="116" w:right="319" w:bottom="1440" w:gutter="0" w:footer="0" w:header="0"/>
        </w:sectPr>
      </w:pPr>
    </w:p>
    <w:bookmarkStart w:id="5" w:name="page6"/>
    <w:bookmarkEnd w:id="5"/>
    <w:p>
      <w:pPr>
        <w:ind w:left="9140"/>
        <w:spacing w:after="0"/>
        <w:rPr>
          <w:sz w:val="20"/>
          <w:szCs w:val="20"/>
          <w:color w:val="auto"/>
        </w:rPr>
      </w:pPr>
      <w:r>
        <w:rPr>
          <w:rFonts w:ascii="Arial" w:cs="Arial" w:eastAsia="Arial" w:hAnsi="Arial"/>
          <w:sz w:val="17"/>
          <w:szCs w:val="17"/>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29210</wp:posOffset>
            </wp:positionV>
            <wp:extent cx="7146925" cy="85267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6925" cy="8526780"/>
                    </a:xfrm>
                    <a:prstGeom prst="rect">
                      <a:avLst/>
                    </a:prstGeom>
                    <a:noFill/>
                  </pic:spPr>
                </pic:pic>
              </a:graphicData>
            </a:graphic>
          </wp:anchor>
        </w:drawing>
      </w:r>
    </w:p>
    <w:p>
      <w:pPr>
        <w:sectPr>
          <w:pgSz w:w="11900" w:h="16838" w:orient="portrait"/>
          <w:cols w:equalWidth="0" w:num="1">
            <w:col w:w="10140"/>
          </w:cols>
          <w:pgMar w:left="1440" w:top="115" w:right="319" w:bottom="1440" w:gutter="0" w:footer="0" w:header="0"/>
        </w:sectPr>
      </w:pPr>
    </w:p>
    <w:bookmarkStart w:id="6" w:name="page7"/>
    <w:bookmarkEnd w:id="6"/>
    <w:p>
      <w:pPr>
        <w:ind w:left="9140"/>
        <w:spacing w:after="0"/>
        <w:rPr>
          <w:sz w:val="20"/>
          <w:szCs w:val="20"/>
          <w:color w:val="auto"/>
        </w:rPr>
      </w:pPr>
      <w:r>
        <w:rPr>
          <w:rFonts w:ascii="Arial" w:cs="Arial" w:eastAsia="Arial" w:hAnsi="Arial"/>
          <w:sz w:val="17"/>
          <w:szCs w:val="17"/>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-712470</wp:posOffset>
            </wp:positionH>
            <wp:positionV relativeFrom="paragraph">
              <wp:posOffset>29210</wp:posOffset>
            </wp:positionV>
            <wp:extent cx="7146925" cy="8388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6925" cy="8388985"/>
                    </a:xfrm>
                    <a:prstGeom prst="rect">
                      <a:avLst/>
                    </a:prstGeom>
                    <a:noFill/>
                  </pic:spPr>
                </pic:pic>
              </a:graphicData>
            </a:graphic>
          </wp:anchor>
        </w:drawing>
      </w:r>
    </w:p>
    <w:sectPr>
      <w:pgSz w:w="11900" w:h="16838" w:orient="portrait"/>
      <w:cols w:equalWidth="0" w:num="1">
        <w:col w:w="10140"/>
      </w:cols>
      <w:pgMar w:left="1440" w:top="115"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2020-04-09T05:06:16Z</dcterms:created>
  <dcterms:modified xsi:type="dcterms:W3CDTF">2020-04-09T05:06:16Z</dcterms:modified>
</cp:coreProperties>
</file>