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As filed with the Securities and Exchange Commission on May 25, 2022</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Zealand Pharma A/S</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tbl>
      <w:tblPr>
        <w:tblLayout w:type="fixed"/>
        <w:tblInd w:w="1760" w:type="dxa"/>
        <w:tblCellMar>
          <w:top w:w="0" w:type="dxa"/>
          <w:left w:w="0" w:type="dxa"/>
          <w:bottom w:w="0" w:type="dxa"/>
          <w:right w:w="0" w:type="dxa"/>
        </w:tblCellMar>
      </w:tblPr>
      <w:tr>
        <w:trPr>
          <w:trHeight w:val="216"/>
        </w:trPr>
        <w:tc>
          <w:tcPr>
            <w:tcW w:w="3980" w:type="dxa"/>
            <w:vAlign w:val="bottom"/>
          </w:tcPr>
          <w:p>
            <w:pPr>
              <w:jc w:val="center"/>
              <w:ind w:right="1770"/>
              <w:spacing w:after="0"/>
              <w:rPr>
                <w:sz w:val="20"/>
                <w:szCs w:val="20"/>
                <w:color w:val="auto"/>
              </w:rPr>
            </w:pPr>
            <w:r>
              <w:rPr>
                <w:rFonts w:ascii="Arial" w:cs="Arial" w:eastAsia="Arial" w:hAnsi="Arial"/>
                <w:sz w:val="18"/>
                <w:szCs w:val="18"/>
                <w:color w:val="auto"/>
                <w:w w:val="93"/>
              </w:rPr>
              <w:t>The Kingdom of Denmark</w:t>
            </w:r>
          </w:p>
        </w:tc>
        <w:tc>
          <w:tcPr>
            <w:tcW w:w="3520" w:type="dxa"/>
            <w:vAlign w:val="bottom"/>
          </w:tcPr>
          <w:p>
            <w:pPr>
              <w:jc w:val="center"/>
              <w:ind w:left="1770"/>
              <w:spacing w:after="0"/>
              <w:rPr>
                <w:sz w:val="20"/>
                <w:szCs w:val="20"/>
                <w:color w:val="auto"/>
              </w:rPr>
            </w:pPr>
            <w:r>
              <w:rPr>
                <w:rFonts w:ascii="Arial" w:cs="Arial" w:eastAsia="Arial" w:hAnsi="Arial"/>
                <w:sz w:val="18"/>
                <w:szCs w:val="18"/>
                <w:color w:val="auto"/>
                <w:w w:val="94"/>
              </w:rPr>
              <w:t>Not Applicable</w:t>
            </w:r>
          </w:p>
        </w:tc>
      </w:tr>
      <w:tr>
        <w:trPr>
          <w:trHeight w:val="216"/>
        </w:trPr>
        <w:tc>
          <w:tcPr>
            <w:tcW w:w="3980" w:type="dxa"/>
            <w:vAlign w:val="bottom"/>
          </w:tcPr>
          <w:p>
            <w:pPr>
              <w:jc w:val="center"/>
              <w:ind w:right="1770"/>
              <w:spacing w:after="0"/>
              <w:rPr>
                <w:sz w:val="20"/>
                <w:szCs w:val="20"/>
                <w:color w:val="auto"/>
              </w:rPr>
            </w:pPr>
            <w:r>
              <w:rPr>
                <w:rFonts w:ascii="Arial" w:cs="Arial" w:eastAsia="Arial" w:hAnsi="Arial"/>
                <w:sz w:val="18"/>
                <w:szCs w:val="18"/>
                <w:color w:val="auto"/>
                <w:w w:val="92"/>
              </w:rPr>
              <w:t>(State or other jurisdiction of</w:t>
            </w:r>
          </w:p>
        </w:tc>
        <w:tc>
          <w:tcPr>
            <w:tcW w:w="3520" w:type="dxa"/>
            <w:vAlign w:val="bottom"/>
          </w:tcPr>
          <w:p>
            <w:pPr>
              <w:jc w:val="center"/>
              <w:ind w:left="1770"/>
              <w:spacing w:after="0"/>
              <w:rPr>
                <w:sz w:val="20"/>
                <w:szCs w:val="20"/>
                <w:color w:val="auto"/>
              </w:rPr>
            </w:pPr>
            <w:r>
              <w:rPr>
                <w:rFonts w:ascii="Arial" w:cs="Arial" w:eastAsia="Arial" w:hAnsi="Arial"/>
                <w:sz w:val="18"/>
                <w:szCs w:val="18"/>
                <w:color w:val="auto"/>
                <w:w w:val="92"/>
              </w:rPr>
              <w:t>(I.R.S. Employer</w:t>
            </w:r>
          </w:p>
        </w:tc>
      </w:tr>
      <w:tr>
        <w:trPr>
          <w:trHeight w:val="230"/>
        </w:trPr>
        <w:tc>
          <w:tcPr>
            <w:tcW w:w="3980" w:type="dxa"/>
            <w:vAlign w:val="bottom"/>
          </w:tcPr>
          <w:p>
            <w:pPr>
              <w:jc w:val="center"/>
              <w:ind w:right="1790"/>
              <w:spacing w:after="0"/>
              <w:rPr>
                <w:sz w:val="20"/>
                <w:szCs w:val="20"/>
                <w:color w:val="auto"/>
              </w:rPr>
            </w:pPr>
            <w:r>
              <w:rPr>
                <w:rFonts w:ascii="Arial" w:cs="Arial" w:eastAsia="Arial" w:hAnsi="Arial"/>
                <w:sz w:val="18"/>
                <w:szCs w:val="18"/>
                <w:color w:val="auto"/>
                <w:w w:val="92"/>
              </w:rPr>
              <w:t>incorporation or organization</w:t>
            </w:r>
          </w:p>
        </w:tc>
        <w:tc>
          <w:tcPr>
            <w:tcW w:w="3520" w:type="dxa"/>
            <w:vAlign w:val="bottom"/>
          </w:tcPr>
          <w:p>
            <w:pPr>
              <w:jc w:val="center"/>
              <w:ind w:left="1770"/>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Sydmarken 11</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2860 Søborg</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(Copenhagen)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Tel: +45 88 77 36 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Zealand Pharma A/S – 2022 Restricted Stock Unit Plan for Employees in the 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Zealand Pharma A/S – 2022 Restricted Stock Unit Plan for Board of Directors</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Zealand Pharma U.S., Inc.</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44 Farnsworth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+45 88 77 36 00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02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1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02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0"/>
                <w:szCs w:val="20"/>
                <w:color w:val="auto"/>
              </w:rPr>
            </w:pPr>
            <w:r>
              <w:rPr>
                <w:rFonts w:ascii="Arial" w:cs="Arial" w:eastAsia="Arial" w:hAnsi="Arial"/>
                <w:sz w:val="18"/>
                <w:szCs w:val="18"/>
                <w:color w:val="auto"/>
                <w:w w:val="98"/>
              </w:rPr>
              <w:t>Emerging growth company</w:t>
            </w:r>
          </w:p>
        </w:tc>
        <w:tc>
          <w:tcPr>
            <w:tcW w:w="13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Joshua A. Kaufman</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Marc A. Recht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David Boles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55 Hudson Yards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New York, NY 10001</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3" w:right="4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*Information required by Part I to be contained in the Section 10(a) prospectus is omitted from this registration statement in accordance with Rule 428 under the Securities Act and the Note to Part I of Form S-8. The documents containing information specified in this Part I will be separately provided to the participants covered by the Zealand Pharma A/S – 2022 Restricted Stock Unit Plan for Employees in the United States and Zealand Pharma A/S – 2022 Restricted Stock Unit Plan for Board of Directors as specified by Rule 428(b)(1) under the Securities Act. The disclosure for the Zealand Pharma A/S – 2022 Restricted Stock Unit Plan for Board of Directors is only in respect of U.S.-based directors of the Company.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documents previously filed by Zealand Pharma A/S (the “Registrant”) with the Securities and Exchange Commission (the “SEC”) are incorporated by reference herein:</w:t>
      </w:r>
    </w:p>
    <w:p>
      <w:pPr>
        <w:spacing w:after="0" w:line="170" w:lineRule="exact"/>
        <w:rPr>
          <w:sz w:val="20"/>
          <w:szCs w:val="20"/>
          <w:color w:val="auto"/>
        </w:rPr>
      </w:pPr>
    </w:p>
    <w:p>
      <w:pPr>
        <w:ind w:left="1080" w:hanging="748"/>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Registrant’s annual report on Form 20-F filed with the SEC on </w:t>
      </w:r>
      <w:hyperlink r:id="rId15">
        <w:r>
          <w:rPr>
            <w:rFonts w:ascii="Arial" w:cs="Arial" w:eastAsia="Arial" w:hAnsi="Arial"/>
            <w:sz w:val="17"/>
            <w:szCs w:val="17"/>
            <w:u w:val="single" w:color="auto"/>
            <w:color w:val="0000EE"/>
          </w:rPr>
          <w:t>March 25, 2022</w:t>
        </w:r>
      </w:hyperlink>
      <w:r>
        <w:rPr>
          <w:rFonts w:ascii="Arial" w:cs="Arial" w:eastAsia="Arial" w:hAnsi="Arial"/>
          <w:sz w:val="17"/>
          <w:szCs w:val="17"/>
          <w:color w:val="auto"/>
        </w:rPr>
        <w:t xml:space="preserve">, as amended on </w:t>
      </w:r>
      <w:hyperlink r:id="rId16">
        <w:r>
          <w:rPr>
            <w:rFonts w:ascii="Arial" w:cs="Arial" w:eastAsia="Arial" w:hAnsi="Arial"/>
            <w:sz w:val="17"/>
            <w:szCs w:val="17"/>
            <w:u w:val="single" w:color="auto"/>
            <w:color w:val="0000EE"/>
          </w:rPr>
          <w:t>April 5,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(the “Annual Report”);</w:t>
      </w:r>
    </w:p>
    <w:p>
      <w:pPr>
        <w:spacing w:after="0" w:line="236" w:lineRule="exact"/>
        <w:rPr>
          <w:rFonts w:ascii="Arial" w:cs="Arial" w:eastAsia="Arial" w:hAnsi="Arial"/>
          <w:sz w:val="17"/>
          <w:szCs w:val="17"/>
          <w:color w:val="auto"/>
        </w:rPr>
      </w:pPr>
    </w:p>
    <w:p>
      <w:pPr>
        <w:ind w:right="260" w:firstLine="332"/>
        <w:spacing w:after="0" w:line="277" w:lineRule="auto"/>
        <w:tabs>
          <w:tab w:leader="none" w:pos="1074" w:val="left"/>
        </w:tabs>
        <w:numPr>
          <w:ilvl w:val="0"/>
          <w:numId w:val="1"/>
        </w:numPr>
        <w:rPr>
          <w:rFonts w:ascii="Arial" w:cs="Arial" w:eastAsia="Arial" w:hAnsi="Arial"/>
          <w:sz w:val="18"/>
          <w:szCs w:val="18"/>
          <w:color w:val="0000EE"/>
        </w:rPr>
      </w:pPr>
      <w:hyperlink r:id="rId17">
        <w:r>
          <w:rPr>
            <w:rFonts w:ascii="Arial" w:cs="Arial" w:eastAsia="Arial" w:hAnsi="Arial"/>
            <w:sz w:val="18"/>
            <w:szCs w:val="18"/>
            <w:color w:val="auto"/>
          </w:rPr>
          <w:t xml:space="preserve">the Registrant’s reports on Form 6-K filed with the SEC on </w:t>
        </w:r>
        <w:r>
          <w:rPr>
            <w:rFonts w:ascii="Arial" w:cs="Arial" w:eastAsia="Arial" w:hAnsi="Arial"/>
            <w:sz w:val="18"/>
            <w:szCs w:val="18"/>
            <w:u w:val="single" w:color="auto"/>
            <w:color w:val="0000EE"/>
          </w:rPr>
          <w:t>March 14,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15,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22,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30,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22,</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2022</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8">
        <w:r>
          <w:rPr>
            <w:rFonts w:ascii="Arial" w:cs="Arial" w:eastAsia="Arial" w:hAnsi="Arial"/>
            <w:sz w:val="18"/>
            <w:szCs w:val="18"/>
            <w:u w:val="single" w:color="auto"/>
            <w:color w:val="0000EE"/>
          </w:rPr>
          <w:t>May 16, 2022</w:t>
        </w:r>
      </w:hyperlink>
      <w:hyperlink r:id="rId1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9">
        <w:r>
          <w:rPr>
            <w:rFonts w:ascii="Arial" w:cs="Arial" w:eastAsia="Arial" w:hAnsi="Arial"/>
            <w:sz w:val="18"/>
            <w:szCs w:val="18"/>
            <w:u w:val="single" w:color="auto"/>
            <w:color w:val="0000EE"/>
          </w:rPr>
          <w:t xml:space="preserve">May 20, 2022 </w:t>
        </w:r>
      </w:hyperlink>
      <w:hyperlink r:id="rId17">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0">
        <w:r>
          <w:rPr>
            <w:rFonts w:ascii="Arial" w:cs="Arial" w:eastAsia="Arial" w:hAnsi="Arial"/>
            <w:sz w:val="18"/>
            <w:szCs w:val="18"/>
            <w:u w:val="single" w:color="auto"/>
            <w:color w:val="0000EE"/>
          </w:rPr>
          <w:t>May 24, 2022</w:t>
        </w:r>
      </w:hyperlink>
      <w:hyperlink r:id="rId17">
        <w:r>
          <w:rPr>
            <w:rFonts w:ascii="Arial" w:cs="Arial" w:eastAsia="Arial" w:hAnsi="Arial"/>
            <w:sz w:val="18"/>
            <w:szCs w:val="18"/>
            <w:color w:val="000000"/>
          </w:rPr>
          <w:t>; and</w:t>
        </w:r>
      </w:hyperlink>
    </w:p>
    <w:p>
      <w:pPr>
        <w:spacing w:after="0" w:line="170" w:lineRule="exact"/>
        <w:rPr>
          <w:rFonts w:ascii="Arial" w:cs="Arial" w:eastAsia="Arial" w:hAnsi="Arial"/>
          <w:sz w:val="18"/>
          <w:szCs w:val="18"/>
          <w:color w:val="0000EE"/>
        </w:rPr>
      </w:pPr>
    </w:p>
    <w:p>
      <w:pPr>
        <w:ind w:firstLine="332"/>
        <w:spacing w:after="0" w:line="308" w:lineRule="auto"/>
        <w:tabs>
          <w:tab w:leader="none" w:pos="1063"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description of the Registrant’s securities registered under Section 12 of the Securities Act of 1933, as amended, incorporated by reference to Exhibit 2.4 of the Annual Report, including any amendment and report subsequently filed for the purpose of updating that description.</w:t>
      </w:r>
    </w:p>
    <w:p>
      <w:pPr>
        <w:spacing w:after="0" w:line="146" w:lineRule="exact"/>
        <w:rPr>
          <w:rFonts w:ascii="Arial" w:cs="Arial" w:eastAsia="Arial" w:hAnsi="Arial"/>
          <w:sz w:val="18"/>
          <w:szCs w:val="18"/>
          <w:color w:val="0000EE"/>
        </w:rPr>
      </w:pPr>
    </w:p>
    <w:p>
      <w:pPr>
        <w:ind w:firstLine="324"/>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or 15(d) of the Securities Exchange Act of 1934, as amended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spacing w:after="0" w:line="162"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rFonts w:ascii="Arial" w:cs="Arial" w:eastAsia="Arial" w:hAnsi="Arial"/>
          <w:sz w:val="18"/>
          <w:szCs w:val="18"/>
          <w:color w:val="0000EE"/>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rFonts w:ascii="Arial" w:cs="Arial" w:eastAsia="Arial" w:hAnsi="Arial"/>
          <w:sz w:val="18"/>
          <w:szCs w:val="18"/>
          <w:color w:val="0000EE"/>
        </w:rPr>
      </w:pPr>
    </w:p>
    <w:p>
      <w:pPr>
        <w:ind w:left="340"/>
        <w:spacing w:after="0"/>
        <w:rPr>
          <w:sz w:val="20"/>
          <w:szCs w:val="20"/>
          <w:color w:val="auto"/>
        </w:rPr>
      </w:pPr>
      <w:r>
        <w:rPr>
          <w:rFonts w:ascii="Arial" w:cs="Arial" w:eastAsia="Arial" w:hAnsi="Arial"/>
          <w:sz w:val="18"/>
          <w:szCs w:val="18"/>
          <w:color w:val="auto"/>
        </w:rPr>
        <w:t>Not applicable.</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According to the Danish Companies Act, the general meeting is allowed to discharge our board members and members of our executive management from liability for any particular financial year based on a resolution relating to the financial statements. This discharge means that the general meeting will relieve members of our board of directors and members of the executive management from liability to the company. However, the general meeting cannot discharge any claims by individual shareholders or other third parties.</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Additionally, at the extraordinary general meeting held on July 31, 2017, the general meeting resolved to let the company indemnify the members of our board of directors in relation to certain claims. in relation to the initial offering and the admission to trading on the Nasdaq Global Select Market of the ADSs and the company’s subsequent status as listed in the United States. At the extraordinary general meeting held on July 31, 2017, the general meeting also resolved to authorize our board of directors to resolve to let the company indemnify the executive management and the company’s employees with respect to certain claims in relation to the initial offering and the admission to trading on the Nasdaq Global Select Market of the ADSs and our subsequent status as listed in the United States which authorization was inserted as a new article 14.2 of our articles of association. At the board meeting held on August 9, 2017, our board of directors resolved to exercise this authorization to let the company indemnify the executive management and the company’s employees with respect to certain claims in relation to the initial offering and the admission to trading on the Nasdaq Global Select Market of the ADSs and the company’s subsequent status as listed in the United States. The indemnification is limited to a maximum amount per claim per person equivalent to the gross proceeds obtained by the company from the initial offering. The indemnification shall remain in force for a period of five years after the resignation of the indemnified person such person’s position with the company. The indemnification will not apply in specific circumstances, including in the case of an indemnified person’s criminal offence, gross negligence or willful acts or omissions.</w:t>
      </w:r>
    </w:p>
    <w:p>
      <w:pPr>
        <w:spacing w:after="0" w:line="168"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There is a risk that such indemnification will be deemed void under Danish law, either because the indemnification is deemed contrary to the rules on discharge of liability in the Danish Companies Act (as set forth above), because the indemnification is deemed contrary to sections 19 and 23 of the Danish Liability and Compensation Act, which contain mandatory provisions on re-course claims between an employee (including members of the executive management) and the company, or because the indemnification is deemed contrary to the general provisions of the Danish Contracts Act.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to such indemnification, we provide our board members and executive management with directors’ and officers’ liability insurance.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Item 8. Exhibits</w:t>
            </w:r>
          </w:p>
        </w:tc>
        <w:tc>
          <w:tcPr>
            <w:tcW w:w="11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146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9780" w:type="dxa"/>
            <w:vAlign w:val="bottom"/>
            <w:gridSpan w:val="1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36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4.</w:t>
              </w:r>
              <w:r>
                <w:rPr>
                  <w:rFonts w:ascii="Arial" w:cs="Arial" w:eastAsia="Arial" w:hAnsi="Arial"/>
                  <w:sz w:val="18"/>
                  <w:szCs w:val="18"/>
                  <w:u w:val="single" w:color="auto"/>
                  <w:color w:val="0000EE"/>
                  <w:w w:val="99"/>
                </w:rPr>
                <w:t>1*</w:t>
              </w:r>
            </w:hyperlink>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Borders>
              <w:top w:val="single" w:sz="8" w:color="auto"/>
              <w:bottom w:val="single" w:sz="8" w:color="0000EE"/>
            </w:tcBorders>
            <w:gridSpan w:val="5"/>
          </w:tcPr>
          <w:p>
            <w:pPr>
              <w:spacing w:after="0" w:line="169"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Articles of Association of Zealand Pharma A/S, as currently in effect</w:t>
              </w:r>
            </w:hyperlink>
          </w:p>
        </w:tc>
        <w:tc>
          <w:tcPr>
            <w:tcW w:w="4800" w:type="dxa"/>
            <w:vAlign w:val="bottom"/>
            <w:tcBorders>
              <w:top w:val="single" w:sz="8" w:color="auto"/>
            </w:tcBorders>
            <w:gridSpan w:val="7"/>
          </w:tcPr>
          <w:p>
            <w:pPr>
              <w:spacing w:after="0"/>
              <w:rPr>
                <w:sz w:val="14"/>
                <w:szCs w:val="14"/>
                <w:color w:val="auto"/>
              </w:rPr>
            </w:pP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2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Form of Deposit Agreement among Zealand Pharma A/S, The Bank of New York Mellon, as depositary, and all owners and holders of</w:t>
              </w:r>
            </w:hyperlink>
          </w:p>
        </w:tc>
        <w:tc>
          <w:tcPr>
            <w:tcW w:w="8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American Depositary Shares issued thereunder (incorporated by reference to Exhibit 4.1 to the Registrant’s Registration Statement on</w:t>
              </w:r>
            </w:hyperlink>
          </w:p>
        </w:tc>
        <w:tc>
          <w:tcPr>
            <w:tcW w:w="14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12"/>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Form F-1/A filed with the SEC on August 3, 2017)</w:t>
              </w:r>
            </w:hyperlink>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r:id="rId2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12"/>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Form of American Depositary Receipt evidencing American Depositary Shares (included in exhibit 4.2)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r>
      <w:tr>
        <w:trPr>
          <w:trHeight w:val="196"/>
        </w:trPr>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265">
              <w:r>
                <w:rPr>
                  <w:rFonts w:ascii="Arial" w:cs="Arial" w:eastAsia="Arial" w:hAnsi="Arial"/>
                  <w:sz w:val="18"/>
                  <w:szCs w:val="18"/>
                  <w:color w:val="0000EE"/>
                  <w:w w:val="99"/>
                </w:rPr>
                <w:t>5.</w:t>
              </w:r>
              <w:r>
                <w:rPr>
                  <w:rFonts w:ascii="Arial" w:cs="Arial" w:eastAsia="Arial" w:hAnsi="Arial"/>
                  <w:sz w:val="18"/>
                  <w:szCs w:val="18"/>
                  <w:u w:val="single" w:color="auto"/>
                  <w:color w:val="0000EE"/>
                  <w:w w:val="99"/>
                </w:rPr>
                <w:t>1*</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65">
              <w:r>
                <w:rPr>
                  <w:rFonts w:ascii="Arial" w:cs="Arial" w:eastAsia="Arial" w:hAnsi="Arial"/>
                  <w:sz w:val="18"/>
                  <w:szCs w:val="18"/>
                  <w:color w:val="0000EE"/>
                  <w:w w:val="90"/>
                </w:rPr>
                <w:t>Opinion of Plesner Advokatpartnerselskab, regarding the validity of the ordinary shares being registered</w:t>
              </w:r>
            </w:hyperlink>
          </w:p>
        </w:tc>
        <w:tc>
          <w:tcPr>
            <w:tcW w:w="2260" w:type="dxa"/>
            <w:vAlign w:val="bottom"/>
            <w:gridSpan w:val="3"/>
          </w:tcPr>
          <w:p>
            <w:pPr>
              <w:spacing w:after="0"/>
              <w:rPr>
                <w:sz w:val="17"/>
                <w:szCs w:val="17"/>
                <w:color w:val="auto"/>
              </w:rPr>
            </w:pPr>
          </w:p>
        </w:tc>
      </w:tr>
      <w:tr>
        <w:trPr>
          <w:trHeight w:val="196"/>
        </w:trPr>
        <w:tc>
          <w:tcPr>
            <w:tcW w:w="360" w:type="dxa"/>
            <w:vAlign w:val="bottom"/>
            <w:gridSpan w:val="2"/>
          </w:tcPr>
          <w:p>
            <w:pPr>
              <w:spacing w:after="0" w:line="196" w:lineRule="exact"/>
              <w:rPr>
                <w:rFonts w:ascii="Arial" w:cs="Arial" w:eastAsia="Arial" w:hAnsi="Arial"/>
                <w:sz w:val="18"/>
                <w:szCs w:val="18"/>
                <w:color w:val="0000EE"/>
                <w:w w:val="76"/>
              </w:rPr>
            </w:pPr>
            <w:hyperlink w:anchor="page273">
              <w:r>
                <w:rPr>
                  <w:rFonts w:ascii="Arial" w:cs="Arial" w:eastAsia="Arial" w:hAnsi="Arial"/>
                  <w:sz w:val="18"/>
                  <w:szCs w:val="18"/>
                  <w:color w:val="0000EE"/>
                  <w:w w:val="76"/>
                </w:rPr>
                <w:t>10.</w:t>
              </w:r>
              <w:r>
                <w:rPr>
                  <w:rFonts w:ascii="Arial" w:cs="Arial" w:eastAsia="Arial" w:hAnsi="Arial"/>
                  <w:sz w:val="18"/>
                  <w:szCs w:val="18"/>
                  <w:u w:val="single" w:color="auto"/>
                  <w:color w:val="0000EE"/>
                  <w:w w:val="76"/>
                </w:rPr>
                <w:t>1*</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12"/>
          </w:tcPr>
          <w:p>
            <w:pPr>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Zealand Pharma A/S – 2022 Restricted Stock Unit Plan for Employees in the United States</w:t>
              </w:r>
            </w:hyperlink>
          </w:p>
        </w:tc>
      </w:tr>
      <w:tr>
        <w:trPr>
          <w:trHeight w:val="196"/>
        </w:trPr>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6"/>
              </w:rPr>
            </w:pPr>
            <w:hyperlink w:anchor="page278">
              <w:r>
                <w:rPr>
                  <w:rFonts w:ascii="Arial" w:cs="Arial" w:eastAsia="Arial" w:hAnsi="Arial"/>
                  <w:sz w:val="18"/>
                  <w:szCs w:val="18"/>
                  <w:color w:val="0000EE"/>
                  <w:w w:val="76"/>
                </w:rPr>
                <w:t>10.</w:t>
              </w:r>
              <w:r>
                <w:rPr>
                  <w:rFonts w:ascii="Arial" w:cs="Arial" w:eastAsia="Arial" w:hAnsi="Arial"/>
                  <w:sz w:val="18"/>
                  <w:szCs w:val="18"/>
                  <w:u w:val="single" w:color="auto"/>
                  <w:color w:val="0000EE"/>
                  <w:w w:val="76"/>
                </w:rPr>
                <w:t>2*</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278">
              <w:r>
                <w:rPr>
                  <w:rFonts w:ascii="Arial" w:cs="Arial" w:eastAsia="Arial" w:hAnsi="Arial"/>
                  <w:sz w:val="18"/>
                  <w:szCs w:val="18"/>
                  <w:color w:val="0000EE"/>
                  <w:w w:val="91"/>
                </w:rPr>
                <w:t>Zealand Pharma A/S – 2022 Restricted Stock Unit Plan for Board of Directors</w:t>
              </w:r>
            </w:hyperlink>
          </w:p>
        </w:tc>
        <w:tc>
          <w:tcPr>
            <w:tcW w:w="940" w:type="dxa"/>
            <w:vAlign w:val="bottom"/>
            <w:tcBorders>
              <w:top w:val="single" w:sz="8" w:color="0000EE"/>
            </w:tcBorders>
          </w:tcPr>
          <w:p>
            <w:pPr>
              <w:spacing w:after="0"/>
              <w:rPr>
                <w:sz w:val="17"/>
                <w:szCs w:val="17"/>
                <w:color w:val="auto"/>
              </w:rPr>
            </w:pPr>
          </w:p>
        </w:tc>
        <w:tc>
          <w:tcPr>
            <w:tcW w:w="3180" w:type="dxa"/>
            <w:vAlign w:val="bottom"/>
            <w:gridSpan w:val="5"/>
          </w:tcPr>
          <w:p>
            <w:pPr>
              <w:spacing w:after="0"/>
              <w:rPr>
                <w:sz w:val="17"/>
                <w:szCs w:val="17"/>
                <w:color w:val="auto"/>
              </w:rPr>
            </w:pPr>
          </w:p>
        </w:tc>
      </w:tr>
      <w:tr>
        <w:trPr>
          <w:trHeight w:val="196"/>
        </w:trPr>
        <w:tc>
          <w:tcPr>
            <w:tcW w:w="360" w:type="dxa"/>
            <w:vAlign w:val="bottom"/>
            <w:gridSpan w:val="2"/>
          </w:tcPr>
          <w:p>
            <w:pPr>
              <w:spacing w:after="0" w:line="196" w:lineRule="exact"/>
              <w:rPr>
                <w:rFonts w:ascii="Arial" w:cs="Arial" w:eastAsia="Arial" w:hAnsi="Arial"/>
                <w:sz w:val="18"/>
                <w:szCs w:val="18"/>
                <w:color w:val="0000EE"/>
                <w:w w:val="76"/>
              </w:rPr>
            </w:pPr>
            <w:hyperlink w:anchor="page283">
              <w:r>
                <w:rPr>
                  <w:rFonts w:ascii="Arial" w:cs="Arial" w:eastAsia="Arial" w:hAnsi="Arial"/>
                  <w:sz w:val="18"/>
                  <w:szCs w:val="18"/>
                  <w:color w:val="0000EE"/>
                  <w:w w:val="76"/>
                </w:rPr>
                <w:t>23.</w:t>
              </w:r>
              <w:r>
                <w:rPr>
                  <w:rFonts w:ascii="Arial" w:cs="Arial" w:eastAsia="Arial" w:hAnsi="Arial"/>
                  <w:sz w:val="18"/>
                  <w:szCs w:val="18"/>
                  <w:u w:val="single" w:color="auto"/>
                  <w:color w:val="0000EE"/>
                  <w:w w:val="76"/>
                </w:rPr>
                <w:t>1*</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12"/>
          </w:tcPr>
          <w:p>
            <w:pPr>
              <w:spacing w:after="0" w:line="196" w:lineRule="exact"/>
              <w:rPr>
                <w:rFonts w:ascii="Arial" w:cs="Arial" w:eastAsia="Arial" w:hAnsi="Arial"/>
                <w:sz w:val="18"/>
                <w:szCs w:val="18"/>
                <w:color w:val="0000EE"/>
              </w:rPr>
            </w:pPr>
            <w:hyperlink w:anchor="page283">
              <w:r>
                <w:rPr>
                  <w:rFonts w:ascii="Arial" w:cs="Arial" w:eastAsia="Arial" w:hAnsi="Arial"/>
                  <w:sz w:val="18"/>
                  <w:szCs w:val="18"/>
                  <w:color w:val="0000EE"/>
                </w:rPr>
                <w:t>Consent of EY Godkendt Revisionspartnerselskab</w:t>
              </w:r>
            </w:hyperlink>
          </w:p>
        </w:tc>
      </w:tr>
      <w:tr>
        <w:trPr>
          <w:trHeight w:val="20"/>
        </w:trPr>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r>
      <w:tr>
        <w:trPr>
          <w:trHeight w:val="196"/>
        </w:trPr>
        <w:tc>
          <w:tcPr>
            <w:tcW w:w="360" w:type="dxa"/>
            <w:vAlign w:val="bottom"/>
            <w:gridSpan w:val="2"/>
          </w:tcPr>
          <w:p>
            <w:pPr>
              <w:spacing w:after="0" w:line="196" w:lineRule="exact"/>
              <w:rPr>
                <w:rFonts w:ascii="Arial" w:cs="Arial" w:eastAsia="Arial" w:hAnsi="Arial"/>
                <w:sz w:val="18"/>
                <w:szCs w:val="18"/>
                <w:color w:val="0000EE"/>
                <w:w w:val="76"/>
              </w:rPr>
            </w:pPr>
            <w:hyperlink w:anchor="page265">
              <w:r>
                <w:rPr>
                  <w:rFonts w:ascii="Arial" w:cs="Arial" w:eastAsia="Arial" w:hAnsi="Arial"/>
                  <w:sz w:val="18"/>
                  <w:szCs w:val="18"/>
                  <w:color w:val="0000EE"/>
                  <w:w w:val="76"/>
                </w:rPr>
                <w:t>23.</w:t>
              </w:r>
              <w:r>
                <w:rPr>
                  <w:rFonts w:ascii="Arial" w:cs="Arial" w:eastAsia="Arial" w:hAnsi="Arial"/>
                  <w:sz w:val="18"/>
                  <w:szCs w:val="18"/>
                  <w:u w:val="single" w:color="auto"/>
                  <w:color w:val="0000EE"/>
                  <w:w w:val="76"/>
                </w:rPr>
                <w:t>2*</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12"/>
          </w:tcPr>
          <w:p>
            <w:pPr>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Consent of Plesner Advokatpartnerselskab (included in Exhibit 5.1)</w:t>
              </w:r>
            </w:hyperlink>
          </w:p>
        </w:tc>
      </w:tr>
      <w:tr>
        <w:trPr>
          <w:trHeight w:val="196"/>
        </w:trPr>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6"/>
              </w:rPr>
            </w:pPr>
            <w:hyperlink w:anchor="page6">
              <w:r>
                <w:rPr>
                  <w:rFonts w:ascii="Arial" w:cs="Arial" w:eastAsia="Arial" w:hAnsi="Arial"/>
                  <w:sz w:val="18"/>
                  <w:szCs w:val="18"/>
                  <w:color w:val="0000EE"/>
                  <w:w w:val="76"/>
                </w:rPr>
                <w:t>24.</w:t>
              </w:r>
              <w:r>
                <w:rPr>
                  <w:rFonts w:ascii="Arial" w:cs="Arial" w:eastAsia="Arial" w:hAnsi="Arial"/>
                  <w:sz w:val="18"/>
                  <w:szCs w:val="18"/>
                  <w:u w:val="single" w:color="auto"/>
                  <w:color w:val="0000EE"/>
                  <w:w w:val="76"/>
                </w:rPr>
                <w:t>1*</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Power of Attorney (included on signature page hereto)</w:t>
              </w:r>
            </w:hyperlink>
          </w:p>
        </w:tc>
        <w:tc>
          <w:tcPr>
            <w:tcW w:w="940" w:type="dxa"/>
            <w:vAlign w:val="bottom"/>
            <w:tcBorders>
              <w:top w:val="single" w:sz="8" w:color="0000EE"/>
            </w:tcBorders>
          </w:tcPr>
          <w:p>
            <w:pPr>
              <w:spacing w:after="0"/>
              <w:rPr>
                <w:sz w:val="17"/>
                <w:szCs w:val="17"/>
                <w:color w:val="auto"/>
              </w:rPr>
            </w:pPr>
          </w:p>
        </w:tc>
        <w:tc>
          <w:tcPr>
            <w:tcW w:w="4900" w:type="dxa"/>
            <w:vAlign w:val="bottom"/>
            <w:gridSpan w:val="8"/>
          </w:tcPr>
          <w:p>
            <w:pPr>
              <w:spacing w:after="0"/>
              <w:rPr>
                <w:sz w:val="17"/>
                <w:szCs w:val="17"/>
                <w:color w:val="auto"/>
              </w:rPr>
            </w:pPr>
          </w:p>
        </w:tc>
      </w:tr>
      <w:tr>
        <w:trPr>
          <w:trHeight w:val="196"/>
        </w:trPr>
        <w:tc>
          <w:tcPr>
            <w:tcW w:w="360" w:type="dxa"/>
            <w:vAlign w:val="bottom"/>
            <w:gridSpan w:val="2"/>
          </w:tcPr>
          <w:p>
            <w:pPr>
              <w:spacing w:after="0" w:line="196" w:lineRule="exact"/>
              <w:rPr>
                <w:rFonts w:ascii="Arial" w:cs="Arial" w:eastAsia="Arial" w:hAnsi="Arial"/>
                <w:sz w:val="18"/>
                <w:szCs w:val="18"/>
                <w:color w:val="0000EE"/>
                <w:w w:val="86"/>
              </w:rPr>
            </w:pPr>
            <w:hyperlink w:anchor="page284">
              <w:r>
                <w:rPr>
                  <w:rFonts w:ascii="Arial" w:cs="Arial" w:eastAsia="Arial" w:hAnsi="Arial"/>
                  <w:sz w:val="18"/>
                  <w:szCs w:val="18"/>
                  <w:color w:val="0000EE"/>
                  <w:w w:val="86"/>
                </w:rPr>
                <w:t>107*</w:t>
              </w:r>
            </w:hyperlink>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12"/>
          </w:tcPr>
          <w:p>
            <w:pPr>
              <w:spacing w:after="0" w:line="196" w:lineRule="exact"/>
              <w:rPr>
                <w:rFonts w:ascii="Arial" w:cs="Arial" w:eastAsia="Arial" w:hAnsi="Arial"/>
                <w:sz w:val="18"/>
                <w:szCs w:val="18"/>
                <w:color w:val="0000EE"/>
              </w:rPr>
            </w:pPr>
            <w:hyperlink w:anchor="page284">
              <w:r>
                <w:rPr>
                  <w:rFonts w:ascii="Arial" w:cs="Arial" w:eastAsia="Arial" w:hAnsi="Arial"/>
                  <w:sz w:val="18"/>
                  <w:szCs w:val="18"/>
                  <w:color w:val="0000EE"/>
                </w:rPr>
                <w:t>Filing Fee Table</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ind w:right="20" w:firstLine="8"/>
        <w:spacing w:after="0" w:line="342" w:lineRule="auto"/>
        <w:tabs>
          <w:tab w:leader="none" w:pos="267"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23" w:lineRule="exact"/>
        <w:rPr>
          <w:rFonts w:ascii="Arial" w:cs="Arial" w:eastAsia="Arial" w:hAnsi="Arial"/>
          <w:sz w:val="16"/>
          <w:szCs w:val="16"/>
          <w:color w:val="auto"/>
        </w:rPr>
      </w:pPr>
    </w:p>
    <w:p>
      <w:pPr>
        <w:ind w:firstLine="8"/>
        <w:spacing w:after="0" w:line="277" w:lineRule="auto"/>
        <w:tabs>
          <w:tab w:leader="none" w:pos="317"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that information in the registration statement;</w:t>
      </w:r>
    </w:p>
    <w:p>
      <w:pPr>
        <w:spacing w:after="0" w:line="17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above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SEC by the Registrant pursuant to Section 13 or Section 15(d) of the Exchange Act that are incorporated by reference in this registration statement;</w:t>
      </w:r>
    </w:p>
    <w:p>
      <w:pPr>
        <w:spacing w:after="0" w:line="184" w:lineRule="exact"/>
        <w:rPr>
          <w:sz w:val="20"/>
          <w:szCs w:val="20"/>
          <w:color w:val="auto"/>
        </w:rPr>
      </w:pPr>
    </w:p>
    <w:p>
      <w:pPr>
        <w:jc w:val="both"/>
        <w:ind w:right="20" w:firstLine="8"/>
        <w:spacing w:after="0" w:line="342" w:lineRule="auto"/>
        <w:tabs>
          <w:tab w:leader="none" w:pos="25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3" w:lineRule="exact"/>
        <w:rPr>
          <w:rFonts w:ascii="Arial" w:cs="Arial" w:eastAsia="Arial" w:hAnsi="Arial"/>
          <w:sz w:val="16"/>
          <w:szCs w:val="16"/>
          <w:color w:val="auto"/>
        </w:rPr>
      </w:pPr>
    </w:p>
    <w:p>
      <w:pPr>
        <w:ind w:firstLine="8"/>
        <w:spacing w:after="0" w:line="277" w:lineRule="auto"/>
        <w:tabs>
          <w:tab w:leader="none" w:pos="26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jc w:val="both"/>
        <w:ind w:firstLine="8"/>
        <w:spacing w:after="0" w:line="301" w:lineRule="auto"/>
        <w:tabs>
          <w:tab w:leader="none" w:pos="26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8" w:firstLine="8"/>
        <w:spacing w:after="0" w:line="291" w:lineRule="auto"/>
        <w:tabs>
          <w:tab w:leader="none" w:pos="23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Copenhagen, Denmark, on May 25, 2022.</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Zealand Pharma A/S</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Steensberg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Steensberg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severally and not jointly, each of Adam Steensberg, Matthew Dallas and Ravinder Singh Chahil, with full power to act alone, as his or her true and lawful attorney-in-fact, with the power of 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full power and authority to do and perform each and every act and thing requisite and necessary to be done as fully to all intents and purposes as he or she might or could do in person, hereby ratifying and confirming all that said attorney-in-fact may lawfully do or cause to be done by virtue hereof.</w:t>
      </w:r>
    </w:p>
    <w:p>
      <w:pPr>
        <w:spacing w:after="0" w:line="17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on May 25, 2022, by the following persons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Steensberg</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Adam Steensberg</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0" w:type="dxa"/>
            <w:vAlign w:val="bottom"/>
          </w:tcPr>
          <w:p>
            <w:pPr>
              <w:spacing w:after="0"/>
              <w:rPr>
                <w:sz w:val="1"/>
                <w:szCs w:val="1"/>
                <w:color w:val="auto"/>
              </w:rPr>
            </w:pPr>
          </w:p>
        </w:tc>
      </w:tr>
      <w:tr>
        <w:trPr>
          <w:trHeight w:val="418"/>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Dallas</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4"/>
              </w:rPr>
              <w:t>Chief Financial Officer (</w:t>
            </w:r>
            <w:r>
              <w:rPr>
                <w:rFonts w:ascii="Arial" w:cs="Arial" w:eastAsia="Arial" w:hAnsi="Arial"/>
                <w:sz w:val="18"/>
                <w:szCs w:val="18"/>
                <w:i w:val="1"/>
                <w:iCs w:val="1"/>
                <w:color w:val="auto"/>
                <w:w w:val="94"/>
              </w:rPr>
              <w:t>Principal Financial and Accounting Officer)</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Matthew Dallas</w:t>
            </w: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Nicklasson</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Martin Nicklasson</w:t>
            </w: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Kirsten A. Drejer</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2"/>
              </w:rPr>
              <w:t>Vice Chairman of the Board of Directors</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Kirsten A. Drejer</w:t>
            </w: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Berkowitz</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Jeffrey Berkowitz</w:t>
            </w: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Bernadette Connaughton</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Bernadette Connaughton</w:t>
            </w: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Kruimer</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Leonard Kruimer</w:t>
            </w: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432"/>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Alain Munoz</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Alain Munoz</w:t>
            </w: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Owen</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Michael J. Owen</w:t>
            </w: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Jens Peter Stenvang</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Jens Peter Stenvang</w:t>
            </w: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Frederik Barfoed Beck</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Frederik Barfoed Beck</w:t>
            </w: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Louise Gjelstrup</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Louise Gjelstrup</w:t>
            </w: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Anneline Nansen</w:t>
            </w:r>
          </w:p>
        </w:tc>
        <w:tc>
          <w:tcPr>
            <w:tcW w:w="220" w:type="dxa"/>
            <w:vAlign w:val="bottom"/>
          </w:tcPr>
          <w:p>
            <w:pPr>
              <w:spacing w:after="0"/>
              <w:rPr>
                <w:sz w:val="24"/>
                <w:szCs w:val="24"/>
                <w:color w:val="auto"/>
              </w:rPr>
            </w:pPr>
          </w:p>
        </w:tc>
        <w:tc>
          <w:tcPr>
            <w:tcW w:w="5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5520" w:type="dxa"/>
            <w:vAlign w:val="bottom"/>
          </w:tcPr>
          <w:p>
            <w:pPr>
              <w:spacing w:after="0"/>
              <w:rPr>
                <w:sz w:val="20"/>
                <w:szCs w:val="20"/>
                <w:color w:val="auto"/>
              </w:rPr>
            </w:pPr>
            <w:r>
              <w:rPr>
                <w:rFonts w:ascii="Arial" w:cs="Arial" w:eastAsia="Arial" w:hAnsi="Arial"/>
                <w:sz w:val="18"/>
                <w:szCs w:val="18"/>
                <w:color w:val="auto"/>
              </w:rPr>
              <w:t>Anneline Nansen</w:t>
            </w: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7" w:name="page8"/>
    <w:bookmarkEnd w:id="7"/>
    <w:p>
      <w:pPr>
        <w:ind w:left="242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Zealand Pharma U.S., Inc., has signed this registration statement or amendment thereto in Boston, Massachusetts on May 25, 2022.</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Zealand Pharma U.S.,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Steensberg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Steensberg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320" w:top="904" w:right="939" w:bottom="1440" w:gutter="0" w:footer="0" w:header="0"/>
        </w:sectPr>
      </w:pPr>
    </w:p>
    <w:bookmarkStart w:id="8" w:name="page9"/>
    <w:bookmarkEnd w:id="8"/>
    <w:p>
      <w:pPr>
        <w:ind w:left="92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31750</wp:posOffset>
            </wp:positionV>
            <wp:extent cx="6755130" cy="8872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6755130" cy="887222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9570085</wp:posOffset>
            </wp:positionV>
            <wp:extent cx="675513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675513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9570085</wp:posOffset>
            </wp:positionV>
            <wp:extent cx="675513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675513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9570085</wp:posOffset>
            </wp:positionV>
            <wp:extent cx="675513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75513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9570085</wp:posOffset>
            </wp:positionV>
            <wp:extent cx="675513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675513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9570085</wp:posOffset>
            </wp:positionV>
            <wp:extent cx="675513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675513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72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6755130" cy="9507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9570085</wp:posOffset>
            </wp:positionV>
            <wp:extent cx="675513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675513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396875</wp:posOffset>
            </wp:positionH>
            <wp:positionV relativeFrom="page">
              <wp:posOffset>88900</wp:posOffset>
            </wp:positionV>
            <wp:extent cx="6755130" cy="95065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6755130" cy="950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154305</wp:posOffset>
            </wp:positionV>
            <wp:extent cx="1534160" cy="2571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153416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Zealand Pharma A/S</w:t>
            </w:r>
          </w:p>
        </w:tc>
        <w:tc>
          <w:tcPr>
            <w:tcW w:w="5920" w:type="dxa"/>
            <w:vAlign w:val="bottom"/>
            <w:gridSpan w:val="2"/>
          </w:tcPr>
          <w:p>
            <w:pPr>
              <w:ind w:left="3460"/>
              <w:spacing w:after="0"/>
              <w:rPr>
                <w:sz w:val="20"/>
                <w:szCs w:val="20"/>
                <w:color w:val="auto"/>
              </w:rPr>
            </w:pPr>
            <w:r>
              <w:rPr>
                <w:rFonts w:ascii="Arial" w:cs="Arial" w:eastAsia="Arial" w:hAnsi="Arial"/>
                <w:sz w:val="18"/>
                <w:szCs w:val="18"/>
                <w:color w:val="auto"/>
                <w:w w:val="96"/>
              </w:rPr>
              <w:t>ADVOKATPARTNERSELSKAB</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Sydmarken 11</w:t>
            </w:r>
          </w:p>
        </w:tc>
        <w:tc>
          <w:tcPr>
            <w:tcW w:w="5920" w:type="dxa"/>
            <w:vAlign w:val="bottom"/>
            <w:gridSpan w:val="2"/>
          </w:tcPr>
          <w:p>
            <w:pPr>
              <w:ind w:left="3460"/>
              <w:spacing w:after="0"/>
              <w:rPr>
                <w:sz w:val="20"/>
                <w:szCs w:val="20"/>
                <w:color w:val="auto"/>
              </w:rPr>
            </w:pPr>
            <w:r>
              <w:rPr>
                <w:rFonts w:ascii="Arial" w:cs="Arial" w:eastAsia="Arial" w:hAnsi="Arial"/>
                <w:sz w:val="18"/>
                <w:szCs w:val="18"/>
                <w:color w:val="auto"/>
              </w:rPr>
              <w:t>WWW.PLESNER.COM</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DK-2860</w:t>
            </w:r>
          </w:p>
        </w:tc>
        <w:tc>
          <w:tcPr>
            <w:tcW w:w="4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Denmark</w:t>
            </w:r>
          </w:p>
        </w:tc>
        <w:tc>
          <w:tcPr>
            <w:tcW w:w="5920" w:type="dxa"/>
            <w:vAlign w:val="bottom"/>
            <w:gridSpan w:val="2"/>
          </w:tcPr>
          <w:p>
            <w:pPr>
              <w:ind w:left="3460"/>
              <w:spacing w:after="0"/>
              <w:rPr>
                <w:sz w:val="20"/>
                <w:szCs w:val="20"/>
                <w:color w:val="auto"/>
              </w:rPr>
            </w:pPr>
            <w:r>
              <w:rPr>
                <w:rFonts w:ascii="Arial" w:cs="Arial" w:eastAsia="Arial" w:hAnsi="Arial"/>
                <w:sz w:val="18"/>
                <w:szCs w:val="18"/>
                <w:color w:val="auto"/>
              </w:rPr>
              <w:t>AMERIKA PLADS 37</w:t>
            </w:r>
          </w:p>
        </w:tc>
      </w:tr>
      <w:tr>
        <w:trPr>
          <w:trHeight w:val="216"/>
        </w:trPr>
        <w:tc>
          <w:tcPr>
            <w:tcW w:w="4980" w:type="dxa"/>
            <w:vAlign w:val="bottom"/>
          </w:tcPr>
          <w:p>
            <w:pPr>
              <w:spacing w:after="0"/>
              <w:rPr>
                <w:sz w:val="18"/>
                <w:szCs w:val="18"/>
                <w:color w:val="auto"/>
              </w:rPr>
            </w:pPr>
          </w:p>
        </w:tc>
        <w:tc>
          <w:tcPr>
            <w:tcW w:w="5920" w:type="dxa"/>
            <w:vAlign w:val="bottom"/>
            <w:gridSpan w:val="2"/>
          </w:tcPr>
          <w:p>
            <w:pPr>
              <w:ind w:left="3460"/>
              <w:spacing w:after="0"/>
              <w:rPr>
                <w:sz w:val="20"/>
                <w:szCs w:val="20"/>
                <w:color w:val="auto"/>
              </w:rPr>
            </w:pPr>
            <w:r>
              <w:rPr>
                <w:rFonts w:ascii="Arial" w:cs="Arial" w:eastAsia="Arial" w:hAnsi="Arial"/>
                <w:sz w:val="18"/>
                <w:szCs w:val="18"/>
                <w:color w:val="auto"/>
              </w:rPr>
              <w:t>2100 KØBENHAVN Ø</w:t>
            </w:r>
          </w:p>
        </w:tc>
      </w:tr>
      <w:tr>
        <w:trPr>
          <w:trHeight w:val="216"/>
        </w:trPr>
        <w:tc>
          <w:tcPr>
            <w:tcW w:w="4980" w:type="dxa"/>
            <w:vAlign w:val="bottom"/>
          </w:tcPr>
          <w:p>
            <w:pPr>
              <w:spacing w:after="0"/>
              <w:rPr>
                <w:sz w:val="18"/>
                <w:szCs w:val="18"/>
                <w:color w:val="auto"/>
              </w:rPr>
            </w:pPr>
          </w:p>
        </w:tc>
        <w:tc>
          <w:tcPr>
            <w:tcW w:w="4220" w:type="dxa"/>
            <w:vAlign w:val="bottom"/>
          </w:tcPr>
          <w:p>
            <w:pPr>
              <w:ind w:left="3460"/>
              <w:spacing w:after="0"/>
              <w:rPr>
                <w:sz w:val="20"/>
                <w:szCs w:val="20"/>
                <w:color w:val="auto"/>
              </w:rPr>
            </w:pPr>
            <w:r>
              <w:rPr>
                <w:rFonts w:ascii="Arial" w:cs="Arial" w:eastAsia="Arial" w:hAnsi="Arial"/>
                <w:sz w:val="18"/>
                <w:szCs w:val="18"/>
                <w:color w:val="auto"/>
              </w:rPr>
              <w:t>TLF  +45</w:t>
            </w:r>
          </w:p>
        </w:tc>
        <w:tc>
          <w:tcPr>
            <w:tcW w:w="1700" w:type="dxa"/>
            <w:vAlign w:val="bottom"/>
          </w:tcPr>
          <w:p>
            <w:pPr>
              <w:jc w:val="right"/>
              <w:ind w:right="750"/>
              <w:spacing w:after="0"/>
              <w:rPr>
                <w:sz w:val="20"/>
                <w:szCs w:val="20"/>
                <w:color w:val="auto"/>
              </w:rPr>
            </w:pPr>
            <w:r>
              <w:rPr>
                <w:rFonts w:ascii="Arial" w:cs="Arial" w:eastAsia="Arial" w:hAnsi="Arial"/>
                <w:sz w:val="18"/>
                <w:szCs w:val="18"/>
                <w:color w:val="auto"/>
                <w:w w:val="88"/>
              </w:rPr>
              <w:t>33 12 11 33</w:t>
            </w:r>
          </w:p>
        </w:tc>
      </w:tr>
      <w:tr>
        <w:trPr>
          <w:trHeight w:val="230"/>
        </w:trPr>
        <w:tc>
          <w:tcPr>
            <w:tcW w:w="4980" w:type="dxa"/>
            <w:vAlign w:val="bottom"/>
          </w:tcPr>
          <w:p>
            <w:pPr>
              <w:spacing w:after="0"/>
              <w:rPr>
                <w:sz w:val="20"/>
                <w:szCs w:val="20"/>
                <w:color w:val="auto"/>
              </w:rPr>
            </w:pPr>
          </w:p>
        </w:tc>
        <w:tc>
          <w:tcPr>
            <w:tcW w:w="4220" w:type="dxa"/>
            <w:vAlign w:val="bottom"/>
          </w:tcPr>
          <w:p>
            <w:pPr>
              <w:ind w:left="3460"/>
              <w:spacing w:after="0"/>
              <w:rPr>
                <w:sz w:val="20"/>
                <w:szCs w:val="20"/>
                <w:color w:val="auto"/>
              </w:rPr>
            </w:pPr>
            <w:r>
              <w:rPr>
                <w:rFonts w:ascii="Arial" w:cs="Arial" w:eastAsia="Arial" w:hAnsi="Arial"/>
                <w:sz w:val="18"/>
                <w:szCs w:val="18"/>
                <w:color w:val="auto"/>
              </w:rPr>
              <w:t>FAX +45</w:t>
            </w:r>
          </w:p>
        </w:tc>
        <w:tc>
          <w:tcPr>
            <w:tcW w:w="1700" w:type="dxa"/>
            <w:vAlign w:val="bottom"/>
          </w:tcPr>
          <w:p>
            <w:pPr>
              <w:jc w:val="right"/>
              <w:ind w:right="730"/>
              <w:spacing w:after="0"/>
              <w:rPr>
                <w:sz w:val="20"/>
                <w:szCs w:val="20"/>
                <w:color w:val="auto"/>
              </w:rPr>
            </w:pPr>
            <w:r>
              <w:rPr>
                <w:rFonts w:ascii="Arial" w:cs="Arial" w:eastAsia="Arial" w:hAnsi="Arial"/>
                <w:sz w:val="18"/>
                <w:szCs w:val="18"/>
                <w:color w:val="auto"/>
                <w:w w:val="90"/>
              </w:rPr>
              <w:t>33 12 00 14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25 May 2022 (CET)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Madams and Sirs,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ZEALAND PHARMA A/S, COMPANY REG. NO. (CVR) 20045078 - REGISTRATION STATEMENT ON FORM S-8 FILED WITH THE UNITED STATES SECURITIES EXCHANGE COMMISSION</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acted as Danish legal counsel to Zealand Pharma A/S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of those ordinary shares of the Company registered pursuant to the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which are to be delivered to certain United States based recipients (the "</w:t>
      </w:r>
      <w:r>
        <w:rPr>
          <w:rFonts w:ascii="Arial" w:cs="Arial" w:eastAsia="Arial" w:hAnsi="Arial"/>
          <w:sz w:val="18"/>
          <w:szCs w:val="18"/>
          <w:b w:val="1"/>
          <w:bCs w:val="1"/>
          <w:color w:val="auto"/>
        </w:rPr>
        <w:t>Recipients</w:t>
      </w:r>
      <w:r>
        <w:rPr>
          <w:rFonts w:ascii="Arial" w:cs="Arial" w:eastAsia="Arial" w:hAnsi="Arial"/>
          <w:sz w:val="18"/>
          <w:szCs w:val="18"/>
          <w:color w:val="auto"/>
        </w:rPr>
        <w:t>") of RSUs (as defined below) under the Company's current share-based long-term incentive programs for the year 2022 and granted by the board of directors of the Company on 11 May 2022, in the form of new shares of the Company issued from time-to-time after 25 May 2022 (the "</w:t>
      </w:r>
      <w:r>
        <w:rPr>
          <w:rFonts w:ascii="Arial" w:cs="Arial" w:eastAsia="Arial" w:hAnsi="Arial"/>
          <w:sz w:val="18"/>
          <w:szCs w:val="18"/>
          <w:b w:val="1"/>
          <w:bCs w:val="1"/>
          <w:color w:val="auto"/>
        </w:rPr>
        <w:t>New Shares</w:t>
      </w:r>
      <w:r>
        <w:rPr>
          <w:rFonts w:ascii="Arial" w:cs="Arial" w:eastAsia="Arial" w:hAnsi="Arial"/>
          <w:sz w:val="18"/>
          <w:szCs w:val="18"/>
          <w:color w:val="auto"/>
        </w:rPr>
        <w:t>") or existing shares (as used herein, the term "existing shares" shall include all issued and outstanding shares as of 25 May 2022) of the Company (the "</w:t>
      </w:r>
      <w:r>
        <w:rPr>
          <w:rFonts w:ascii="Arial" w:cs="Arial" w:eastAsia="Arial" w:hAnsi="Arial"/>
          <w:sz w:val="18"/>
          <w:szCs w:val="18"/>
          <w:b w:val="1"/>
          <w:bCs w:val="1"/>
          <w:color w:val="auto"/>
        </w:rPr>
        <w:t>Existing Shares</w:t>
      </w:r>
      <w:r>
        <w:rPr>
          <w:rFonts w:ascii="Arial" w:cs="Arial" w:eastAsia="Arial" w:hAnsi="Arial"/>
          <w:sz w:val="18"/>
          <w:szCs w:val="18"/>
          <w:color w:val="auto"/>
        </w:rPr>
        <w:t>") to holders of RSUs, in instances subject to certain terms and conditions, including vesting and exercise of the RSUs granted to the Recipients. Each RSU grants a right to the Recipient to be allocated one existing share (i.e. existing at the time of exercise of such RSU) in the Company upon vesting and exercise.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This opinion (the "</w:t>
      </w:r>
      <w:r>
        <w:rPr>
          <w:rFonts w:ascii="Arial" w:cs="Arial" w:eastAsia="Arial" w:hAnsi="Arial"/>
          <w:sz w:val="18"/>
          <w:szCs w:val="18"/>
          <w:b w:val="1"/>
          <w:bCs w:val="1"/>
          <w:color w:val="auto"/>
        </w:rPr>
        <w:t>Opinion</w:t>
      </w:r>
      <w:r>
        <w:rPr>
          <w:rFonts w:ascii="Arial" w:cs="Arial" w:eastAsia="Arial" w:hAnsi="Arial"/>
          <w:sz w:val="18"/>
          <w:szCs w:val="18"/>
          <w:color w:val="auto"/>
        </w:rPr>
        <w:t>") is being furnished in connection with the requirements of Rule 601(b)(5) under the Securities Act, and no opinion is expressed herein as to any matter pertaining to the contents of the Registration Statement and related prospectuses.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Registration Statement on Form S-8, with inter alia, the prospectuses included or incorporated therein for the 2022 RSU plan for employees and 2022 agreements on RSUs for members of the board of directors (jointly the "</w:t>
      </w:r>
      <w:r>
        <w:rPr>
          <w:rFonts w:ascii="Arial" w:cs="Arial" w:eastAsia="Arial" w:hAnsi="Arial"/>
          <w:sz w:val="17"/>
          <w:szCs w:val="17"/>
          <w:b w:val="1"/>
          <w:bCs w:val="1"/>
          <w:color w:val="auto"/>
        </w:rPr>
        <w:t>Grant Agreements</w:t>
      </w:r>
      <w:r>
        <w:rPr>
          <w:rFonts w:ascii="Arial" w:cs="Arial" w:eastAsia="Arial" w:hAnsi="Arial"/>
          <w:sz w:val="17"/>
          <w:szCs w:val="17"/>
          <w:color w:val="auto"/>
        </w:rPr>
        <w:t>") has been filed on the date hereof by the Company to register with the SEC under the Securities Act the ordinary shares that may be represented by ADSs subject to the Grant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5" w:name="page266"/>
    <w:bookmarkEnd w:id="265"/>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5805805</wp:posOffset>
            </wp:positionH>
            <wp:positionV relativeFrom="page">
              <wp:posOffset>586105</wp:posOffset>
            </wp:positionV>
            <wp:extent cx="1534160" cy="2571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57175"/>
                    </a:xfrm>
                    <a:prstGeom prst="rect">
                      <a:avLst/>
                    </a:prstGeom>
                    <a:noFill/>
                  </pic:spPr>
                </pic:pic>
              </a:graphicData>
            </a:graphic>
          </wp:anchor>
        </w:drawing>
      </w:r>
    </w:p>
    <w:p>
      <w:pPr>
        <w:ind w:left="980" w:hanging="972"/>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the Opinion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Opinion we have examined the following documents:</w:t>
      </w:r>
    </w:p>
    <w:p>
      <w:pPr>
        <w:spacing w:after="0" w:line="22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copies of the articles of association of the Company dated 6 April 2022 (the "</w:t>
      </w:r>
      <w:r>
        <w:rPr>
          <w:rFonts w:ascii="Arial" w:cs="Arial" w:eastAsia="Arial" w:hAnsi="Arial"/>
          <w:sz w:val="18"/>
          <w:szCs w:val="18"/>
          <w:b w:val="1"/>
          <w:bCs w:val="1"/>
          <w:color w:val="auto"/>
        </w:rPr>
        <w:t>Articles of Association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copy of the minutes of the annual general meeting of the Company held on 6 April 2022 whereby the annual general meeting resolved, inter alia, to approve the 2022 remuneration policy (the "</w:t>
      </w:r>
      <w:r>
        <w:rPr>
          <w:rFonts w:ascii="Arial" w:cs="Arial" w:eastAsia="Arial" w:hAnsi="Arial"/>
          <w:sz w:val="17"/>
          <w:szCs w:val="17"/>
          <w:b w:val="1"/>
          <w:bCs w:val="1"/>
          <w:color w:val="auto"/>
        </w:rPr>
        <w:t>Remuneration Policy</w:t>
      </w:r>
      <w:r>
        <w:rPr>
          <w:rFonts w:ascii="Arial" w:cs="Arial" w:eastAsia="Arial" w:hAnsi="Arial"/>
          <w:sz w:val="17"/>
          <w:szCs w:val="17"/>
          <w:color w:val="auto"/>
        </w:rPr>
        <w:t>") and amend the Articles of Association and adopted an authorization for the board of directors of the Company to approve the acquisition of treasury shares (the "</w:t>
      </w:r>
      <w:r>
        <w:rPr>
          <w:rFonts w:ascii="Arial" w:cs="Arial" w:eastAsia="Arial" w:hAnsi="Arial"/>
          <w:sz w:val="17"/>
          <w:szCs w:val="17"/>
          <w:b w:val="1"/>
          <w:bCs w:val="1"/>
          <w:color w:val="auto"/>
        </w:rPr>
        <w:t>Authorization</w:t>
      </w:r>
      <w:r>
        <w:rPr>
          <w:rFonts w:ascii="Arial" w:cs="Arial" w:eastAsia="Arial" w:hAnsi="Arial"/>
          <w:sz w:val="17"/>
          <w:szCs w:val="17"/>
          <w:color w:val="auto"/>
        </w:rPr>
        <w:t>");</w:t>
      </w:r>
    </w:p>
    <w:p>
      <w:pPr>
        <w:spacing w:after="0" w:line="161" w:lineRule="exact"/>
        <w:rPr>
          <w:rFonts w:ascii="Arial" w:cs="Arial" w:eastAsia="Arial" w:hAnsi="Arial"/>
          <w:sz w:val="17"/>
          <w:szCs w:val="17"/>
          <w:color w:val="auto"/>
        </w:rPr>
      </w:pPr>
    </w:p>
    <w:p>
      <w:pPr>
        <w:ind w:left="660" w:hanging="652"/>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copy of the minutes of the board meeting dated 11 May 2022 (the "</w:t>
      </w:r>
      <w:r>
        <w:rPr>
          <w:rFonts w:ascii="Arial" w:cs="Arial" w:eastAsia="Arial" w:hAnsi="Arial"/>
          <w:sz w:val="18"/>
          <w:szCs w:val="18"/>
          <w:b w:val="1"/>
          <w:bCs w:val="1"/>
          <w:color w:val="auto"/>
        </w:rPr>
        <w:t>Board Minute</w:t>
      </w:r>
      <w:r>
        <w:rPr>
          <w:rFonts w:ascii="Arial" w:cs="Arial" w:eastAsia="Arial" w:hAnsi="Arial"/>
          <w:sz w:val="18"/>
          <w:szCs w:val="18"/>
          <w:color w:val="auto"/>
        </w:rPr>
        <w:t>") approving, inter alia, the grant of restricted stock units (the "</w:t>
      </w:r>
      <w:r>
        <w:rPr>
          <w:rFonts w:ascii="Arial" w:cs="Arial" w:eastAsia="Arial" w:hAnsi="Arial"/>
          <w:sz w:val="18"/>
          <w:szCs w:val="18"/>
          <w:b w:val="1"/>
          <w:bCs w:val="1"/>
          <w:color w:val="auto"/>
        </w:rPr>
        <w:t>RSUs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Remuneration Policy;</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online transcript of 25 May 2022 (around 7:00 PM CET) from the Danish Business Authority (in Danish: "</w:t>
      </w:r>
      <w:r>
        <w:rPr>
          <w:rFonts w:ascii="Arial" w:cs="Arial" w:eastAsia="Arial" w:hAnsi="Arial"/>
          <w:sz w:val="18"/>
          <w:szCs w:val="18"/>
          <w:i w:val="1"/>
          <w:iCs w:val="1"/>
          <w:color w:val="auto"/>
        </w:rPr>
        <w:t>Erhvervsstyrelsen</w:t>
      </w:r>
      <w:r>
        <w:rPr>
          <w:rFonts w:ascii="Arial" w:cs="Arial" w:eastAsia="Arial" w:hAnsi="Arial"/>
          <w:sz w:val="18"/>
          <w:szCs w:val="18"/>
          <w:color w:val="auto"/>
        </w:rPr>
        <w:t>") concerning the Company;</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forms of Grant Agreements concerning the grant of RSUs applicable to each of the Recipients;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overview of all Recipients and the number of RSUs granted to each Recipient provided by the Company;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other documents, agreements and records as we have deemed necessary for the purposes of rendering this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documents mentioned in Sections 1a) - 1h) above are referred to as the "</w:t>
      </w:r>
      <w:r>
        <w:rPr>
          <w:rFonts w:ascii="Arial" w:cs="Arial" w:eastAsia="Arial" w:hAnsi="Arial"/>
          <w:sz w:val="18"/>
          <w:szCs w:val="18"/>
          <w:b w:val="1"/>
          <w:bCs w:val="1"/>
          <w:color w:val="auto"/>
        </w:rPr>
        <w:t>Documentation</w:t>
      </w:r>
      <w:r>
        <w:rPr>
          <w:rFonts w:ascii="Arial" w:cs="Arial" w:eastAsia="Arial" w:hAnsi="Arial"/>
          <w:sz w:val="18"/>
          <w:szCs w:val="18"/>
          <w:color w:val="auto"/>
        </w:rPr>
        <w:t>" and individually as a "</w:t>
      </w:r>
      <w:r>
        <w:rPr>
          <w:rFonts w:ascii="Arial" w:cs="Arial" w:eastAsia="Arial" w:hAnsi="Arial"/>
          <w:sz w:val="18"/>
          <w:szCs w:val="18"/>
          <w:b w:val="1"/>
          <w:bCs w:val="1"/>
          <w:color w:val="auto"/>
        </w:rPr>
        <w:t>Document</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5805805</wp:posOffset>
            </wp:positionH>
            <wp:positionV relativeFrom="page">
              <wp:posOffset>586105</wp:posOffset>
            </wp:positionV>
            <wp:extent cx="1534160" cy="2571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57175"/>
                    </a:xfrm>
                    <a:prstGeom prst="rect">
                      <a:avLst/>
                    </a:prstGeom>
                    <a:noFill/>
                  </pic:spPr>
                </pic:pic>
              </a:graphicData>
            </a:graphic>
          </wp:anchor>
        </w:drawing>
      </w:r>
    </w:p>
    <w:p>
      <w:pPr>
        <w:ind w:left="980" w:hanging="972"/>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this Opinion, we have assumed the following:</w:t>
      </w:r>
    </w:p>
    <w:p>
      <w:pPr>
        <w:spacing w:after="0" w:line="225" w:lineRule="exact"/>
        <w:rPr>
          <w:sz w:val="20"/>
          <w:szCs w:val="20"/>
          <w:color w:val="auto"/>
        </w:rPr>
      </w:pPr>
    </w:p>
    <w:p>
      <w:pPr>
        <w:jc w:val="both"/>
        <w:ind w:left="660" w:hanging="652"/>
        <w:spacing w:after="0" w:line="31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that any copies of the Documents, including the minutes referred to in Clause 1c), that we have reviewed are complete and accurate copies of the originals of such Documents and that the originals of such Documents were or will be executed in the manner appearing on such copies and that all material supplied to us (whether original or in copy) is authentic, has been supplied in full and has not subsequently been amended;</w:t>
      </w:r>
    </w:p>
    <w:p>
      <w:pPr>
        <w:spacing w:after="0" w:line="148"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each Document is true, correct and fully updated and has not been amended or revoked after the date of each such Document;</w:t>
      </w:r>
    </w:p>
    <w:p>
      <w:pPr>
        <w:spacing w:after="0" w:line="225"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that each Recipient will accept and agree or sign (as the case may be) one or more Grant Agreement(s) (in the form provided to us) related to his or her respective grant(s) of RSUs, and that the Grant Agreement(s) represent or will represent the entire understanding between each of the Recipients and the Company with respect to the RSUs other than what is set out elsewhere in the Documentation;</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capacity, power and authority of each of the parties to the Documents, other than the Company;</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Documents were or will be entered into and approved for bona fide commercial reasons and on arm’s length terms and in good faith by each of the parties thereto and that no party has entered into the said agreements under any kind of duress, undue influence or on the basis of any kind of fraud or that other similar circumstances exist that would render said agreements invalid;</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New Shares if issued pursuant to an authorization or decision to be subscribed for at market price, will be subscribed for at a price corresponding to the market price in accordance with applicable Danish corporate law principles;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New Shares will only be offered and issued in accordance with the legislation and regulation in the relevant jurisdictions;</w:t>
      </w:r>
    </w:p>
    <w:p>
      <w:pPr>
        <w:spacing w:after="0" w:line="225"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that the Company has properly convened and conducted such meetings as form the basis of or are referred to in the Documents referred to in Sections 1b) and 1c), that the resolutions referred to in Sections 1b) and 1c) were duly passed in the interest of the Company, and that any authorizations or powers given pursuant to the Documents referred to in Section 1b) and/or and 1c) were duly granted and have not been revoked, amended or otherwise modified and were in full force and effect as of the date of execution by the Company of the relevant Documents;</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5805805</wp:posOffset>
            </wp:positionH>
            <wp:positionV relativeFrom="page">
              <wp:posOffset>586105</wp:posOffset>
            </wp:positionV>
            <wp:extent cx="1534160" cy="2571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57175"/>
                    </a:xfrm>
                    <a:prstGeom prst="rect">
                      <a:avLst/>
                    </a:prstGeom>
                    <a:noFill/>
                  </pic:spPr>
                </pic:pic>
              </a:graphicData>
            </a:graphic>
          </wp:anchor>
        </w:drawing>
      </w:r>
    </w:p>
    <w:p>
      <w:pPr>
        <w:jc w:val="both"/>
        <w:ind w:left="66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at the date of any issue of New Shares by way of exercise of authorization to carry out such issue, the board of directors of the Company will have sufficient powers under the articles of association of the Company, in force at any relevant time, and applicable law to issue such New Shares;</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is not, and will not be, in breach of any restrictions in its articles of association of the Company, in force at any relevant time, or any other instrument or contract binding on the Company;</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copies submitted to us of minutes of meetings and/or resolutions correctly record the proceedings at such meetings and/or subject matter which they purport to record, and that all resolutions set out in such copies were duly passed;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online transcript dated 25 May 2022 (around 8:00 CET) from the Danish Business Authority (Section 1l)) concerning the Company being accurate, complete and fully updated;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genuineness of all signatures and dates on all Documents examined by us, and that the identities of the signatories are as stated or written and legally binding for such signatory;</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valid authorization and due execution and delivery of the Documents (including those Documents that have not yet been executed), by each of the parties thereto other than the Company;</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as of the date of execution or the effective date of the Documents, as a result of the transactions or actions effected pursuant to the Documents and at the time of the issuance of New Shares, the Company is not or will not be or become insolvent or unable to pay its debts or deemed to be so and no steps have been taken to grant an injunction against the Company in respect of any of the Documents or to place the Company into any insolvency procedure;</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any power of attorney referred to in the Documents has neither been revoked nor amended;</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there are no provisions of the laws of any jurisdiction (other than Denmark) that would have any adverse implication in relation to the opinions expressed herein;</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5805805</wp:posOffset>
            </wp:positionH>
            <wp:positionV relativeFrom="page">
              <wp:posOffset>586105</wp:posOffset>
            </wp:positionV>
            <wp:extent cx="1534160" cy="2571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57175"/>
                    </a:xfrm>
                    <a:prstGeom prst="rect">
                      <a:avLst/>
                    </a:prstGeom>
                    <a:noFill/>
                  </pic:spPr>
                </pic:pic>
              </a:graphicData>
            </a:graphic>
          </wp:anchor>
        </w:drawing>
      </w: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accuracy and completeness of all factual matters, statements of fact, factual representations, warranties and other information as to matters of fact described or set forth in the Documents, as we have not made any independent investigation in respect thereof;</w:t>
      </w:r>
    </w:p>
    <w:p>
      <w:pPr>
        <w:spacing w:after="0" w:line="170"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that all formalities and requirements of the laws of any relevant jurisdiction other than Denmark and of any regulatory authority therein, applicable to the execution, performance, delivery, perfection and enforceability of the Documents have been or will be duly complied with;</w:t>
      </w:r>
    </w:p>
    <w:p>
      <w:pPr>
        <w:spacing w:after="0" w:line="14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due compliance of all matters with and validity and binding effect under such laws as govern any activities contemplated other than the laws of Denmark in respect of which we are opining;</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a "corporate benefit", as such term is construed under Danish law, will accrue to the Company from entering into any transactions related to the Documents, if relevant; and</w:t>
      </w:r>
    </w:p>
    <w:p>
      <w:pPr>
        <w:spacing w:after="0" w:line="170"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that the Existing Shares or New Shares will be acquired by the Company prior to the delivery to the Recipients and that such acquisition will be in accordance with and subject to the limitations set out in the relevant authorizations in place from time to time, including the Authorization.</w:t>
      </w:r>
    </w:p>
    <w:p>
      <w:pPr>
        <w:spacing w:after="0" w:line="120" w:lineRule="exact"/>
        <w:rPr>
          <w:sz w:val="20"/>
          <w:szCs w:val="20"/>
          <w:color w:val="auto"/>
        </w:rPr>
      </w:pPr>
    </w:p>
    <w:p>
      <w:pPr>
        <w:ind w:left="980" w:hanging="972"/>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Based on the assumptions set forth in Section 2 and the qualifications set forth in Section 4, we are of the opinion that: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is a limited liability company (in Danish: "</w:t>
      </w:r>
      <w:r>
        <w:rPr>
          <w:rFonts w:ascii="Arial" w:cs="Arial" w:eastAsia="Arial" w:hAnsi="Arial"/>
          <w:sz w:val="18"/>
          <w:szCs w:val="18"/>
          <w:i w:val="1"/>
          <w:iCs w:val="1"/>
          <w:color w:val="auto"/>
        </w:rPr>
        <w:t>aktieselskab</w:t>
      </w:r>
      <w:r>
        <w:rPr>
          <w:rFonts w:ascii="Arial" w:cs="Arial" w:eastAsia="Arial" w:hAnsi="Arial"/>
          <w:sz w:val="18"/>
          <w:szCs w:val="18"/>
          <w:color w:val="auto"/>
        </w:rPr>
        <w:t>") registered and validly existing under the laws of Denmark;</w:t>
      </w:r>
    </w:p>
    <w:p>
      <w:pPr>
        <w:spacing w:after="0" w:line="225"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grants of the RSUs to the Recipients have been duly authorized, executed and delivered by the Company and such securities constitute valid, legally binding and enforceable obligations of the Company subject to and in accordance with their respective terms and the Grant Agreement(s);</w:t>
      </w:r>
    </w:p>
    <w:p>
      <w:pPr>
        <w:spacing w:after="0" w:line="123" w:lineRule="exact"/>
        <w:rPr>
          <w:rFonts w:ascii="Arial" w:cs="Arial" w:eastAsia="Arial" w:hAnsi="Arial"/>
          <w:sz w:val="16"/>
          <w:szCs w:val="16"/>
          <w:color w:val="auto"/>
        </w:rPr>
      </w:pPr>
    </w:p>
    <w:p>
      <w:pPr>
        <w:jc w:val="both"/>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Existing Shares are to be delivered to Recipients of RSUs, then pursuant to the Articles of Association and the transcript of the Danish Business Authority referred to in 1e) the Existing Shares to be delivered to the eligible Recipients (as the case may be) are validly issued and fully paid; and</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5805805</wp:posOffset>
            </wp:positionH>
            <wp:positionV relativeFrom="page">
              <wp:posOffset>586105</wp:posOffset>
            </wp:positionV>
            <wp:extent cx="1534160" cy="2571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57175"/>
                    </a:xfrm>
                    <a:prstGeom prst="rect">
                      <a:avLst/>
                    </a:prstGeom>
                    <a:noFill/>
                  </pic:spPr>
                </pic:pic>
              </a:graphicData>
            </a:graphic>
          </wp:anchor>
        </w:drawing>
      </w:r>
    </w:p>
    <w:p>
      <w:pPr>
        <w:jc w:val="both"/>
        <w:ind w:left="660" w:hanging="328"/>
        <w:spacing w:after="0" w:line="271"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New Shares are to be delivered to the Recipients of RSUs, then provided that (i) the issuance of such New Shares has been duly authorized by all necessary corporate action on the part of the Company, and (ii) the New Shares have been issued and registered with the Danish Business Authority and VP Securities A/S and delivered in accordance with the terms of the applicable subscription list, definitive purchase agreement, underwriting or similar agreement approved by the Company and as may be contemplated in a prospectus related thereto (as the case may be), (iii) the subscription price for the New Shares has been paid to the Company, and (iv) upon compliance with all other necessary formalities, then such New Shares will be validly issued, fully paid and non-assessable. Non-assessable shall in this context mean, in relation to a share, that the issuer of the share has no right to require the holder of the share to pay to the issuer any amount (in addition to the amount required for the share to be fully paid) solely as a result of his or her shareholding.</w:t>
      </w:r>
    </w:p>
    <w:p>
      <w:pPr>
        <w:spacing w:after="0" w:line="174" w:lineRule="exact"/>
        <w:rPr>
          <w:sz w:val="20"/>
          <w:szCs w:val="20"/>
          <w:color w:val="auto"/>
        </w:rPr>
      </w:pPr>
    </w:p>
    <w:p>
      <w:pPr>
        <w:ind w:left="980" w:hanging="972"/>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assumptions set forth in Section 2 above, this Opinion is subject to the following qualifications: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Opinion is given only with respect to the laws of Denmark as in force today and as such laws are currently applied by Danish courts and we express no opinion with respect to the laws of any other jurisdiction nor have we made any investigations as to any law other than the laws of Denmark;</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ability of a Danish limited liability company to delegate authority in general to third parties to act on its behalf is restricted pursuant to Danish law. Thus, the granting by a Danish limited liability company of powers to third parties to act on their behalf may be considered void and set aside by the Danish courts if the powers are not restricted to specific, limited and well-defined matters and given for a certain period of time;</w:t>
      </w:r>
    </w:p>
    <w:p>
      <w:pPr>
        <w:spacing w:after="0" w:line="1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rendering this Opinion we have relied on certain matters of information and fact obtained from the Company and other sources reasonably believed by us to be credible;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express no opinion as to the exact interpretation of any particular wording in any Document by a court;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claims may become barred under statutes of limitation or laches or may be subject to defenses of set-off or counterclaim;</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Danish court may refuse to give effect to provisions in the Documents which constitute, or purport to constitute, a restriction on the exercise of any statutory power or which would restrict certain defenses if this would entail the enforcement of illegal or invalid terms;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5805805</wp:posOffset>
            </wp:positionH>
            <wp:positionV relativeFrom="page">
              <wp:posOffset>586105</wp:posOffset>
            </wp:positionV>
            <wp:extent cx="1534160" cy="2571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57175"/>
                    </a:xfrm>
                    <a:prstGeom prst="rect">
                      <a:avLst/>
                    </a:prstGeom>
                    <a:noFill/>
                  </pic:spPr>
                </pic:pic>
              </a:graphicData>
            </a:graphic>
          </wp:anchor>
        </w:drawing>
      </w:r>
    </w:p>
    <w:p>
      <w:pPr>
        <w:ind w:left="328" w:hanging="328"/>
        <w:spacing w:after="0" w:line="277"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provision in the Documents providing that the terms may be amended or varied only by an instrument in writing may be held by a Danish court not to be effective;</w:t>
      </w:r>
    </w:p>
    <w:p>
      <w:pPr>
        <w:spacing w:after="0" w:line="170" w:lineRule="exact"/>
        <w:rPr>
          <w:rFonts w:ascii="Arial" w:cs="Arial" w:eastAsia="Arial" w:hAnsi="Arial"/>
          <w:sz w:val="18"/>
          <w:szCs w:val="18"/>
          <w:color w:val="auto"/>
        </w:rPr>
      </w:pPr>
    </w:p>
    <w:p>
      <w:pPr>
        <w:ind w:left="328" w:right="20" w:hanging="328"/>
        <w:spacing w:after="0" w:line="342" w:lineRule="auto"/>
        <w:tabs>
          <w:tab w:leader="none" w:pos="328"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Danish court may refuse to give effect to provisions in the Documents which attempt to make one or more provisions therein separable from other provisions therein, in particular if such separation would substantially affect or change the substance or purpose of the Documents;</w:t>
      </w:r>
    </w:p>
    <w:p>
      <w:pPr>
        <w:spacing w:after="0" w:line="123"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in the Documents seeking to exclude or restrict liability for gross negligence or intent may be limited or void and such provisions will be interpreted restrictively by Danish courts;</w:t>
      </w:r>
    </w:p>
    <w:p>
      <w:pPr>
        <w:spacing w:after="0" w:line="170"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may be circumstances in which a Danish court would not give effect to provisions in the Documents according to which a party is vested with a discretion or may determine a matter in its opinion and any person who is entitled to exercise discretion or make a determination will be required to do so reasonably;</w:t>
      </w:r>
    </w:p>
    <w:p>
      <w:pPr>
        <w:spacing w:after="0" w:line="183"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in the Documents providing that certain facts, determinations or calculations will be conclusive and binding (or prima facie evidence) may not be effective if they are incorrect and such provisions will not necessarily prevent judicial inquiry into the merits of such facts, determinations or calculations;</w:t>
      </w:r>
    </w:p>
    <w:p>
      <w:pPr>
        <w:spacing w:after="0" w:line="183"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obligations of the Company, the enforceability of such obligations and any agreed enforcement action will be subject to and may be limited by the remedies available to Danish courts and any laws from time to time in effect in Denmark relating to insolvency, bankruptcy, liquidation, suspension of payments, restructuring (in Danish: "</w:t>
      </w:r>
      <w:r>
        <w:rPr>
          <w:rFonts w:ascii="Arial" w:cs="Arial" w:eastAsia="Arial" w:hAnsi="Arial"/>
          <w:sz w:val="18"/>
          <w:szCs w:val="18"/>
          <w:i w:val="1"/>
          <w:iCs w:val="1"/>
          <w:color w:val="auto"/>
        </w:rPr>
        <w:t>rekonstruktion</w:t>
      </w:r>
      <w:r>
        <w:rPr>
          <w:rFonts w:ascii="Arial" w:cs="Arial" w:eastAsia="Arial" w:hAnsi="Arial"/>
          <w:sz w:val="18"/>
          <w:szCs w:val="18"/>
          <w:color w:val="auto"/>
        </w:rPr>
        <w:t>") and any other laws or remedies affecting generally the enforcement of creditors’ rights;</w:t>
      </w:r>
    </w:p>
    <w:p>
      <w:pPr>
        <w:spacing w:after="0" w:line="186" w:lineRule="exact"/>
        <w:rPr>
          <w:rFonts w:ascii="Arial" w:cs="Arial" w:eastAsia="Arial" w:hAnsi="Arial"/>
          <w:sz w:val="18"/>
          <w:szCs w:val="18"/>
          <w:color w:val="auto"/>
        </w:rPr>
      </w:pPr>
    </w:p>
    <w:p>
      <w:pPr>
        <w:ind w:left="328" w:hanging="328"/>
        <w:spacing w:after="0"/>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transcripts from the Danish Business Authority are not conclusive evidence of whether or not:</w:t>
      </w:r>
    </w:p>
    <w:p>
      <w:pPr>
        <w:spacing w:after="0" w:line="225" w:lineRule="exact"/>
        <w:rPr>
          <w:rFonts w:ascii="Arial" w:cs="Arial" w:eastAsia="Arial" w:hAnsi="Arial"/>
          <w:sz w:val="18"/>
          <w:szCs w:val="18"/>
          <w:color w:val="auto"/>
        </w:rPr>
      </w:pPr>
    </w:p>
    <w:p>
      <w:pPr>
        <w:ind w:left="1468" w:hanging="820"/>
        <w:spacing w:after="0"/>
        <w:tabs>
          <w:tab w:leader="none" w:pos="14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 entity is insolvent; or</w:t>
      </w:r>
    </w:p>
    <w:p>
      <w:pPr>
        <w:spacing w:after="0" w:line="225" w:lineRule="exact"/>
        <w:rPr>
          <w:rFonts w:ascii="Arial" w:cs="Arial" w:eastAsia="Arial" w:hAnsi="Arial"/>
          <w:sz w:val="18"/>
          <w:szCs w:val="18"/>
          <w:color w:val="auto"/>
        </w:rPr>
      </w:pPr>
    </w:p>
    <w:p>
      <w:pPr>
        <w:ind w:left="1468" w:hanging="820"/>
        <w:spacing w:after="0"/>
        <w:tabs>
          <w:tab w:leader="none" w:pos="14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winding-up order (in Danish: "</w:t>
      </w:r>
      <w:r>
        <w:rPr>
          <w:rFonts w:ascii="Arial" w:cs="Arial" w:eastAsia="Arial" w:hAnsi="Arial"/>
          <w:sz w:val="18"/>
          <w:szCs w:val="18"/>
          <w:i w:val="1"/>
          <w:iCs w:val="1"/>
          <w:color w:val="auto"/>
        </w:rPr>
        <w:t>konkursdekret</w:t>
      </w:r>
      <w:r>
        <w:rPr>
          <w:rFonts w:ascii="Arial" w:cs="Arial" w:eastAsia="Arial" w:hAnsi="Arial"/>
          <w:sz w:val="18"/>
          <w:szCs w:val="18"/>
          <w:color w:val="auto"/>
        </w:rPr>
        <w:t>") has been made or a resolution passed for winding-up; or</w:t>
      </w:r>
    </w:p>
    <w:p>
      <w:pPr>
        <w:spacing w:after="0" w:line="225" w:lineRule="exact"/>
        <w:rPr>
          <w:rFonts w:ascii="Arial" w:cs="Arial" w:eastAsia="Arial" w:hAnsi="Arial"/>
          <w:sz w:val="18"/>
          <w:szCs w:val="18"/>
          <w:color w:val="auto"/>
        </w:rPr>
      </w:pPr>
    </w:p>
    <w:p>
      <w:pPr>
        <w:ind w:left="1468" w:hanging="820"/>
        <w:spacing w:after="0"/>
        <w:tabs>
          <w:tab w:leader="none" w:pos="14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 administration or restructuring (in Danish: "</w:t>
      </w:r>
      <w:r>
        <w:rPr>
          <w:rFonts w:ascii="Arial" w:cs="Arial" w:eastAsia="Arial" w:hAnsi="Arial"/>
          <w:sz w:val="18"/>
          <w:szCs w:val="18"/>
          <w:i w:val="1"/>
          <w:iCs w:val="1"/>
          <w:color w:val="auto"/>
        </w:rPr>
        <w:t>rekonstruktionsbehandling</w:t>
      </w:r>
      <w:r>
        <w:rPr>
          <w:rFonts w:ascii="Arial" w:cs="Arial" w:eastAsia="Arial" w:hAnsi="Arial"/>
          <w:sz w:val="18"/>
          <w:szCs w:val="18"/>
          <w:color w:val="auto"/>
        </w:rPr>
        <w:t>") order has been made; or</w:t>
      </w:r>
    </w:p>
    <w:p>
      <w:pPr>
        <w:spacing w:after="0" w:line="225" w:lineRule="exact"/>
        <w:rPr>
          <w:rFonts w:ascii="Arial" w:cs="Arial" w:eastAsia="Arial" w:hAnsi="Arial"/>
          <w:sz w:val="18"/>
          <w:szCs w:val="18"/>
          <w:color w:val="auto"/>
        </w:rPr>
      </w:pPr>
    </w:p>
    <w:p>
      <w:pPr>
        <w:ind w:left="1468" w:hanging="820"/>
        <w:spacing w:after="0"/>
        <w:tabs>
          <w:tab w:leader="none" w:pos="14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 administrator or liquidator has been appointed,</w:t>
      </w:r>
    </w:p>
    <w:p>
      <w:pPr>
        <w:spacing w:after="0" w:line="200" w:lineRule="exact"/>
        <w:rPr>
          <w:sz w:val="20"/>
          <w:szCs w:val="20"/>
          <w:color w:val="auto"/>
        </w:rPr>
      </w:pPr>
    </w:p>
    <w:p>
      <w:pPr>
        <w:spacing w:after="0" w:line="241"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271" w:name="page272"/>
    <w:bookmarkEnd w:id="271"/>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5805805</wp:posOffset>
            </wp:positionH>
            <wp:positionV relativeFrom="page">
              <wp:posOffset>586105</wp:posOffset>
            </wp:positionV>
            <wp:extent cx="1534160" cy="2571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57175"/>
                    </a:xfrm>
                    <a:prstGeom prst="rect">
                      <a:avLst/>
                    </a:prstGeom>
                    <a:noFill/>
                  </pic:spPr>
                </pic:pic>
              </a:graphicData>
            </a:graphic>
          </wp:anchor>
        </w:drawing>
      </w:r>
    </w:p>
    <w:p>
      <w:pPr>
        <w:jc w:val="both"/>
        <w:ind w:left="660"/>
        <w:spacing w:after="0" w:line="257" w:lineRule="auto"/>
        <w:rPr>
          <w:sz w:val="20"/>
          <w:szCs w:val="20"/>
          <w:color w:val="auto"/>
        </w:rPr>
      </w:pPr>
      <w:r>
        <w:rPr>
          <w:rFonts w:ascii="Arial" w:cs="Arial" w:eastAsia="Arial" w:hAnsi="Arial"/>
          <w:sz w:val="18"/>
          <w:szCs w:val="18"/>
          <w:color w:val="auto"/>
        </w:rPr>
        <w:t>since notice of these matters may not be filed with the Danish Business Authority immediately and, when filed, may not be entered on the public file of the company immediately. In addition, such transcripts are not capable of revealing, prior to the making of the relevant order, whether or not a winding-up petition has been presented or other insolvency or restructuring proceedings have been commenced. Filings with the Danish Business Authority are open to the public and the Danish Business Authority does not conduct any investigation on the legality, correctness or validity of the information submitted to it; and</w:t>
      </w:r>
    </w:p>
    <w:p>
      <w:pPr>
        <w:spacing w:after="0" w:line="188"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this Opinion Danish legal concepts are expressed in English terms and not in their original Danish terms. The concepts concerned may not be identical to the concepts described by the same English terms as they exist under the laws of other jurisdictions.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not assuming any obligation to notify you of any changes to this Opinion as a result of any facts or circumstances that may come to our attention in the future or as a result of any change in the laws of Denmark which may hereafter occur.</w:t>
      </w:r>
    </w:p>
    <w:p>
      <w:pPr>
        <w:spacing w:after="0" w:line="166" w:lineRule="exact"/>
        <w:rPr>
          <w:sz w:val="20"/>
          <w:szCs w:val="20"/>
          <w:color w:val="auto"/>
        </w:rPr>
      </w:pPr>
    </w:p>
    <w:p>
      <w:pPr>
        <w:ind w:left="980" w:hanging="972"/>
        <w:spacing w:after="0"/>
        <w:tabs>
          <w:tab w:leader="none" w:pos="9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RELIANCE AND DISCLOSURE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Opinion is governed by and construed in accordance with Danish law and is limited to matters of the laws of Denmark (excluding Greenland and the Faroe Islands) as in effect and applied on the date of this Opinion and any legal suit action or proceeding against us by the Company arising out of or based upon this opinion shall be exclusively instituted in a Danish court. We express no opinion with respect to the laws of any other jurisdiction, nor have we made any investigation as to any laws other than the laws of Denmark.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strictly limited to the matters stated herein and is not to be read as extending by implication to any other matter.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accept no responsibility or legal liability to any person other than the Company in relation to the contents of this opinion and claims may only be brought against Plesner Advokatpartnerselskab and not against individual partners or employees of Plesner Advokatpartnerselskab on the basis hereof.</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law firm (in Danish: "</w:t>
      </w:r>
      <w:r>
        <w:rPr>
          <w:rFonts w:ascii="Arial" w:cs="Arial" w:eastAsia="Arial" w:hAnsi="Arial"/>
          <w:sz w:val="18"/>
          <w:szCs w:val="18"/>
          <w:i w:val="1"/>
          <w:iCs w:val="1"/>
          <w:color w:val="auto"/>
        </w:rPr>
        <w:t>Advokatpartnerselskab</w:t>
      </w:r>
      <w:r>
        <w:rPr>
          <w:rFonts w:ascii="Arial" w:cs="Arial" w:eastAsia="Arial" w:hAnsi="Arial"/>
          <w:sz w:val="18"/>
          <w:szCs w:val="18"/>
          <w:color w:val="auto"/>
        </w:rPr>
        <w:t>") therein. In giving this consent, we do not admit that we are in the category of persons whose consent is required under Section 7 of the Securities Act of 1933, as amended, and the rules and regulations promulgated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are qualified to practice law in Denmark.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- 0 -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Plesner Advokatpartnerselskab</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154305</wp:posOffset>
            </wp:positionV>
            <wp:extent cx="1791970" cy="6858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179197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gridSpan w:val="4"/>
            <w:shd w:val="clear" w:color="auto" w:fill="F5F5F5"/>
          </w:tcPr>
          <w:p>
            <w:pPr>
              <w:spacing w:after="0"/>
              <w:rPr>
                <w:sz w:val="20"/>
                <w:szCs w:val="20"/>
                <w:color w:val="auto"/>
              </w:rPr>
            </w:pPr>
            <w:r>
              <w:rPr>
                <w:rFonts w:ascii="Arial" w:cs="Arial" w:eastAsia="Arial" w:hAnsi="Arial"/>
                <w:sz w:val="18"/>
                <w:szCs w:val="18"/>
                <w:b w:val="1"/>
                <w:bCs w:val="1"/>
                <w:color w:val="auto"/>
              </w:rPr>
              <w:t>Acceptance of Restricted Stock Units Award</w:t>
            </w:r>
          </w:p>
        </w:tc>
        <w:tc>
          <w:tcPr>
            <w:tcW w:w="20" w:type="dxa"/>
            <w:vAlign w:val="bottom"/>
            <w:shd w:val="clear" w:color="auto" w:fill="F5F5F5"/>
          </w:tcPr>
          <w:p>
            <w:pPr>
              <w:spacing w:after="0"/>
              <w:rPr>
                <w:sz w:val="18"/>
                <w:szCs w:val="18"/>
                <w:color w:val="auto"/>
              </w:rPr>
            </w:pPr>
          </w:p>
        </w:tc>
        <w:tc>
          <w:tcPr>
            <w:tcW w:w="1620" w:type="dxa"/>
            <w:vAlign w:val="bottom"/>
            <w:shd w:val="clear" w:color="auto" w:fill="F5F5F5"/>
          </w:tcPr>
          <w:p>
            <w:pPr>
              <w:spacing w:after="0"/>
              <w:rPr>
                <w:sz w:val="18"/>
                <w:szCs w:val="18"/>
                <w:color w:val="auto"/>
              </w:rPr>
            </w:pPr>
          </w:p>
        </w:tc>
        <w:tc>
          <w:tcPr>
            <w:tcW w:w="40" w:type="dxa"/>
            <w:vAlign w:val="bottom"/>
            <w:shd w:val="clear" w:color="auto" w:fill="F5F5F5"/>
          </w:tcPr>
          <w:p>
            <w:pPr>
              <w:spacing w:after="0"/>
              <w:rPr>
                <w:sz w:val="18"/>
                <w:szCs w:val="18"/>
                <w:color w:val="auto"/>
              </w:rPr>
            </w:pPr>
          </w:p>
        </w:tc>
        <w:tc>
          <w:tcPr>
            <w:tcW w:w="2540" w:type="dxa"/>
            <w:vAlign w:val="bottom"/>
            <w:shd w:val="clear" w:color="auto" w:fill="F5F5F5"/>
          </w:tcPr>
          <w:p>
            <w:pPr>
              <w:spacing w:after="0"/>
              <w:rPr>
                <w:sz w:val="18"/>
                <w:szCs w:val="18"/>
                <w:color w:val="auto"/>
              </w:rPr>
            </w:pPr>
          </w:p>
        </w:tc>
        <w:tc>
          <w:tcPr>
            <w:tcW w:w="20" w:type="dxa"/>
            <w:vAlign w:val="bottom"/>
            <w:shd w:val="clear" w:color="auto" w:fill="F5F5F5"/>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40" w:type="dxa"/>
            <w:vAlign w:val="bottom"/>
          </w:tcPr>
          <w:p>
            <w:pPr>
              <w:spacing w:after="0"/>
              <w:rPr>
                <w:sz w:val="24"/>
                <w:szCs w:val="24"/>
                <w:color w:val="auto"/>
              </w:rPr>
            </w:pPr>
          </w:p>
        </w:tc>
        <w:tc>
          <w:tcPr>
            <w:tcW w:w="1540" w:type="dxa"/>
            <w:vAlign w:val="bottom"/>
            <w:shd w:val="clear" w:color="auto" w:fill="BABABA"/>
          </w:tcPr>
          <w:p>
            <w:pPr>
              <w:ind w:left="100"/>
              <w:spacing w:after="0"/>
              <w:rPr>
                <w:sz w:val="20"/>
                <w:szCs w:val="20"/>
                <w:color w:val="auto"/>
              </w:rPr>
            </w:pPr>
            <w:r>
              <w:rPr>
                <w:rFonts w:ascii="Arial" w:cs="Arial" w:eastAsia="Arial" w:hAnsi="Arial"/>
                <w:sz w:val="18"/>
                <w:szCs w:val="18"/>
                <w:b w:val="1"/>
                <w:bCs w:val="1"/>
                <w:color w:val="auto"/>
              </w:rPr>
              <w:t>Submit</w:t>
            </w:r>
          </w:p>
        </w:tc>
        <w:tc>
          <w:tcPr>
            <w:tcW w:w="40" w:type="dxa"/>
            <w:vAlign w:val="bottom"/>
          </w:tcPr>
          <w:p>
            <w:pPr>
              <w:spacing w:after="0"/>
              <w:rPr>
                <w:sz w:val="24"/>
                <w:szCs w:val="24"/>
                <w:color w:val="auto"/>
              </w:rPr>
            </w:pPr>
          </w:p>
        </w:tc>
        <w:tc>
          <w:tcPr>
            <w:tcW w:w="5380" w:type="dxa"/>
            <w:vAlign w:val="bottom"/>
            <w:shd w:val="clear" w:color="auto" w:fill="BABABA"/>
          </w:tcPr>
          <w:p>
            <w:pPr>
              <w:ind w:left="100"/>
              <w:spacing w:after="0"/>
              <w:rPr>
                <w:sz w:val="20"/>
                <w:szCs w:val="20"/>
                <w:color w:val="auto"/>
              </w:rPr>
            </w:pPr>
            <w:r>
              <w:rPr>
                <w:rFonts w:ascii="Arial" w:cs="Arial" w:eastAsia="Arial" w:hAnsi="Arial"/>
                <w:sz w:val="18"/>
                <w:szCs w:val="18"/>
                <w:b w:val="1"/>
                <w:bCs w:val="1"/>
                <w:color w:val="auto"/>
              </w:rPr>
              <w:t>Deadline</w:t>
            </w:r>
          </w:p>
        </w:tc>
        <w:tc>
          <w:tcPr>
            <w:tcW w:w="20" w:type="dxa"/>
            <w:vAlign w:val="bottom"/>
          </w:tcPr>
          <w:p>
            <w:pPr>
              <w:spacing w:after="0"/>
              <w:rPr>
                <w:sz w:val="24"/>
                <w:szCs w:val="24"/>
                <w:color w:val="auto"/>
              </w:rPr>
            </w:pPr>
          </w:p>
        </w:tc>
        <w:tc>
          <w:tcPr>
            <w:tcW w:w="1620" w:type="dxa"/>
            <w:vAlign w:val="bottom"/>
            <w:shd w:val="clear" w:color="auto" w:fill="BABABA"/>
          </w:tcPr>
          <w:p>
            <w:pPr>
              <w:ind w:left="120"/>
              <w:spacing w:after="0"/>
              <w:rPr>
                <w:sz w:val="20"/>
                <w:szCs w:val="20"/>
                <w:color w:val="auto"/>
              </w:rPr>
            </w:pPr>
            <w:r>
              <w:rPr>
                <w:rFonts w:ascii="Arial" w:cs="Arial" w:eastAsia="Arial" w:hAnsi="Arial"/>
                <w:sz w:val="18"/>
                <w:szCs w:val="18"/>
                <w:b w:val="1"/>
                <w:bCs w:val="1"/>
                <w:color w:val="auto"/>
              </w:rPr>
              <w:t>Status</w:t>
            </w:r>
          </w:p>
        </w:tc>
        <w:tc>
          <w:tcPr>
            <w:tcW w:w="40" w:type="dxa"/>
            <w:vAlign w:val="bottom"/>
          </w:tcPr>
          <w:p>
            <w:pPr>
              <w:spacing w:after="0"/>
              <w:rPr>
                <w:sz w:val="24"/>
                <w:szCs w:val="24"/>
                <w:color w:val="auto"/>
              </w:rPr>
            </w:pPr>
          </w:p>
        </w:tc>
        <w:tc>
          <w:tcPr>
            <w:tcW w:w="2540" w:type="dxa"/>
            <w:vAlign w:val="bottom"/>
            <w:shd w:val="clear" w:color="auto" w:fill="BABABA"/>
          </w:tcPr>
          <w:p>
            <w:pPr>
              <w:ind w:left="100"/>
              <w:spacing w:after="0"/>
              <w:rPr>
                <w:sz w:val="20"/>
                <w:szCs w:val="20"/>
                <w:color w:val="auto"/>
              </w:rPr>
            </w:pPr>
            <w:r>
              <w:rPr>
                <w:rFonts w:ascii="Arial" w:cs="Arial" w:eastAsia="Arial" w:hAnsi="Arial"/>
                <w:sz w:val="18"/>
                <w:szCs w:val="18"/>
                <w:b w:val="1"/>
                <w:bCs w:val="1"/>
                <w:color w:val="auto"/>
              </w:rPr>
              <w:t>Award Status</w:t>
            </w:r>
          </w:p>
        </w:tc>
        <w:tc>
          <w:tcPr>
            <w:tcW w:w="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540" w:type="dxa"/>
            <w:vAlign w:val="bottom"/>
            <w:shd w:val="clear" w:color="auto" w:fill="BABABA"/>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shd w:val="clear" w:color="auto" w:fill="BABABA"/>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shd w:val="clear" w:color="auto" w:fill="BABABA"/>
          </w:tcPr>
          <w:p>
            <w:pPr>
              <w:spacing w:after="0"/>
              <w:rPr>
                <w:sz w:val="18"/>
                <w:szCs w:val="18"/>
                <w:color w:val="auto"/>
              </w:rPr>
            </w:pPr>
          </w:p>
        </w:tc>
        <w:tc>
          <w:tcPr>
            <w:tcW w:w="40" w:type="dxa"/>
            <w:vAlign w:val="bottom"/>
          </w:tcPr>
          <w:p>
            <w:pPr>
              <w:spacing w:after="0"/>
              <w:rPr>
                <w:sz w:val="18"/>
                <w:szCs w:val="18"/>
                <w:color w:val="auto"/>
              </w:rPr>
            </w:pPr>
          </w:p>
        </w:tc>
        <w:tc>
          <w:tcPr>
            <w:tcW w:w="2540" w:type="dxa"/>
            <w:vAlign w:val="bottom"/>
            <w:shd w:val="clear" w:color="auto" w:fill="BABABA"/>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r>
      <w:tr>
        <w:trPr>
          <w:trHeight w:val="432"/>
        </w:trPr>
        <w:tc>
          <w:tcPr>
            <w:tcW w:w="40" w:type="dxa"/>
            <w:vAlign w:val="bottom"/>
          </w:tcPr>
          <w:p>
            <w:pPr>
              <w:spacing w:after="0"/>
              <w:rPr>
                <w:sz w:val="24"/>
                <w:szCs w:val="24"/>
                <w:color w:val="auto"/>
              </w:rPr>
            </w:pPr>
          </w:p>
        </w:tc>
        <w:tc>
          <w:tcPr>
            <w:tcW w:w="15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4"/>
                <w:szCs w:val="24"/>
                <w:color w:val="auto"/>
              </w:rPr>
            </w:pPr>
          </w:p>
        </w:tc>
        <w:tc>
          <w:tcPr>
            <w:tcW w:w="5380" w:type="dxa"/>
            <w:vAlign w:val="bottom"/>
            <w:shd w:val="clear" w:color="auto" w:fill="DBDBDB"/>
          </w:tcPr>
          <w:p>
            <w:pPr>
              <w:ind w:left="100"/>
              <w:spacing w:after="0"/>
              <w:rPr>
                <w:sz w:val="20"/>
                <w:szCs w:val="20"/>
                <w:color w:val="auto"/>
              </w:rPr>
            </w:pPr>
            <w:r>
              <w:rPr>
                <w:rFonts w:ascii="Arial" w:cs="Arial" w:eastAsia="Arial" w:hAnsi="Arial"/>
                <w:sz w:val="18"/>
                <w:szCs w:val="18"/>
                <w:color w:val="auto"/>
              </w:rPr>
              <w:t>08-June-2022 17:00 (UTC+01:00)</w:t>
            </w:r>
          </w:p>
        </w:tc>
        <w:tc>
          <w:tcPr>
            <w:tcW w:w="20" w:type="dxa"/>
            <w:vAlign w:val="bottom"/>
          </w:tcPr>
          <w:p>
            <w:pPr>
              <w:spacing w:after="0"/>
              <w:rPr>
                <w:sz w:val="24"/>
                <w:szCs w:val="24"/>
                <w:color w:val="auto"/>
              </w:rPr>
            </w:pPr>
          </w:p>
        </w:tc>
        <w:tc>
          <w:tcPr>
            <w:tcW w:w="1620" w:type="dxa"/>
            <w:vAlign w:val="bottom"/>
            <w:shd w:val="clear" w:color="auto" w:fill="DBDBDB"/>
          </w:tcPr>
          <w:p>
            <w:pPr>
              <w:ind w:left="120"/>
              <w:spacing w:after="0"/>
              <w:rPr>
                <w:sz w:val="20"/>
                <w:szCs w:val="20"/>
                <w:color w:val="auto"/>
              </w:rPr>
            </w:pPr>
            <w:r>
              <w:rPr>
                <w:rFonts w:ascii="Arial" w:cs="Arial" w:eastAsia="Arial" w:hAnsi="Arial"/>
                <w:sz w:val="18"/>
                <w:szCs w:val="18"/>
                <w:color w:val="auto"/>
              </w:rPr>
              <w:t>Pending</w:t>
            </w:r>
          </w:p>
        </w:tc>
        <w:tc>
          <w:tcPr>
            <w:tcW w:w="40" w:type="dxa"/>
            <w:vAlign w:val="bottom"/>
          </w:tcPr>
          <w:p>
            <w:pPr>
              <w:spacing w:after="0"/>
              <w:rPr>
                <w:sz w:val="24"/>
                <w:szCs w:val="24"/>
                <w:color w:val="auto"/>
              </w:rPr>
            </w:pPr>
          </w:p>
        </w:tc>
        <w:tc>
          <w:tcPr>
            <w:tcW w:w="2540" w:type="dxa"/>
            <w:vAlign w:val="bottom"/>
            <w:shd w:val="clear" w:color="auto" w:fill="BABABA"/>
          </w:tcPr>
          <w:p>
            <w:pPr>
              <w:ind w:left="100"/>
              <w:spacing w:after="0"/>
              <w:rPr>
                <w:sz w:val="20"/>
                <w:szCs w:val="20"/>
                <w:color w:val="auto"/>
              </w:rPr>
            </w:pPr>
            <w:r>
              <w:rPr>
                <w:rFonts w:ascii="Arial" w:cs="Arial" w:eastAsia="Arial" w:hAnsi="Arial"/>
                <w:sz w:val="18"/>
                <w:szCs w:val="18"/>
                <w:color w:val="auto"/>
              </w:rPr>
              <w:t>Active</w:t>
            </w:r>
          </w:p>
        </w:tc>
        <w:tc>
          <w:tcPr>
            <w:tcW w:w="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40" w:type="dxa"/>
            <w:vAlign w:val="bottom"/>
          </w:tcPr>
          <w:p>
            <w:pPr>
              <w:spacing w:after="0"/>
              <w:rPr>
                <w:sz w:val="18"/>
                <w:szCs w:val="18"/>
                <w:color w:val="auto"/>
              </w:rPr>
            </w:pPr>
          </w:p>
        </w:tc>
        <w:tc>
          <w:tcPr>
            <w:tcW w:w="5380" w:type="dxa"/>
            <w:vAlign w:val="bottom"/>
            <w:shd w:val="clear" w:color="auto" w:fill="DBDBDB"/>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shd w:val="clear" w:color="auto" w:fill="DBDBDB"/>
          </w:tcPr>
          <w:p>
            <w:pPr>
              <w:spacing w:after="0"/>
              <w:rPr>
                <w:sz w:val="18"/>
                <w:szCs w:val="18"/>
                <w:color w:val="auto"/>
              </w:rPr>
            </w:pPr>
          </w:p>
        </w:tc>
        <w:tc>
          <w:tcPr>
            <w:tcW w:w="40" w:type="dxa"/>
            <w:vAlign w:val="bottom"/>
          </w:tcPr>
          <w:p>
            <w:pPr>
              <w:spacing w:after="0"/>
              <w:rPr>
                <w:sz w:val="18"/>
                <w:szCs w:val="18"/>
                <w:color w:val="auto"/>
              </w:rPr>
            </w:pPr>
          </w:p>
        </w:tc>
        <w:tc>
          <w:tcPr>
            <w:tcW w:w="2540" w:type="dxa"/>
            <w:vAlign w:val="bottom"/>
            <w:shd w:val="clear" w:color="auto" w:fill="BABABA"/>
          </w:tcPr>
          <w:p>
            <w:pPr>
              <w:spacing w:after="0"/>
              <w:rPr>
                <w:sz w:val="18"/>
                <w:szCs w:val="18"/>
                <w:color w:val="auto"/>
              </w:rPr>
            </w:pPr>
          </w:p>
        </w:tc>
        <w:tc>
          <w:tcPr>
            <w:tcW w:w="20" w:type="dxa"/>
            <w:vAlign w:val="bottom"/>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Congratulations!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are hereby invited to participate in Zealand’s 2022 RSU plan for employees in the United States, and receive an Award of Restricted Stock Units, subject to the terms and conditions as set out below in the Award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171450</wp:posOffset>
            </wp:positionV>
            <wp:extent cx="6454775" cy="8401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645477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171450</wp:posOffset>
            </wp:positionV>
            <wp:extent cx="6669405" cy="12687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6669405" cy="12687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1885950</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color w:val="auto"/>
        </w:rPr>
        <w:t>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RESTRICTED STOCK UNIT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EMPLOYEES 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Award Agreement</w:t>
      </w:r>
      <w:r>
        <w:rPr>
          <w:rFonts w:ascii="Arial" w:cs="Arial" w:eastAsia="Arial" w:hAnsi="Arial"/>
          <w:sz w:val="18"/>
          <w:szCs w:val="18"/>
          <w:color w:val="auto"/>
        </w:rPr>
        <w:t>") on Restricted Share Units is entered into on May 25, 2022 between:</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Zealand Pharma A/S, CVR no. 20 04 50 78, Sydmarken 11, DK-2860 Søborg, Denmark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1520" w:firstLine="8"/>
        <w:spacing w:after="0" w:line="530" w:lineRule="auto"/>
        <w:tabs>
          <w:tab w:leader="none" w:pos="6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person who has accepted this Award Agreement, thereby becoming a holder of Restricted Share Units (the “</w:t>
      </w:r>
      <w:r>
        <w:rPr>
          <w:rFonts w:ascii="Arial" w:cs="Arial" w:eastAsia="Arial" w:hAnsi="Arial"/>
          <w:sz w:val="17"/>
          <w:szCs w:val="17"/>
          <w:b w:val="1"/>
          <w:bCs w:val="1"/>
          <w:color w:val="auto"/>
        </w:rPr>
        <w:t>Participant</w:t>
      </w:r>
      <w:r>
        <w:rPr>
          <w:rFonts w:ascii="Arial" w:cs="Arial" w:eastAsia="Arial" w:hAnsi="Arial"/>
          <w:sz w:val="17"/>
          <w:szCs w:val="17"/>
          <w:color w:val="auto"/>
        </w:rPr>
        <w:t>”) - the Company and the Participant hereinafter collectively referred to as the "</w:t>
      </w:r>
      <w:r>
        <w:rPr>
          <w:rFonts w:ascii="Arial" w:cs="Arial" w:eastAsia="Arial" w:hAnsi="Arial"/>
          <w:sz w:val="17"/>
          <w:szCs w:val="17"/>
          <w:b w:val="1"/>
          <w:bCs w:val="1"/>
          <w:color w:val="auto"/>
        </w:rPr>
        <w:t>Parties</w:t>
      </w:r>
      <w:r>
        <w:rPr>
          <w:rFonts w:ascii="Arial" w:cs="Arial" w:eastAsia="Arial" w:hAnsi="Arial"/>
          <w:sz w:val="17"/>
          <w:szCs w:val="17"/>
          <w:color w:val="auto"/>
        </w:rPr>
        <w:t>" and separately as a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purpose of this Award Agreement is to attract, retain and motivate the Participant by creating a common interest in the Company’s growth and the development of the share price. By offering RSUs (as defined below),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also wants to reward all employees for dedicated and focused results supporting the Company’s long-term development and growth.</w:t>
      </w:r>
    </w:p>
    <w:p>
      <w:pPr>
        <w:spacing w:after="0" w:line="16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AWARD OF RSUs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Participant is awarded Restricted Stock Units in the Company free of charge (the "</w:t>
      </w:r>
      <w:r>
        <w:rPr>
          <w:rFonts w:ascii="Arial" w:cs="Arial" w:eastAsia="Arial" w:hAnsi="Arial"/>
          <w:sz w:val="16"/>
          <w:szCs w:val="16"/>
          <w:b w:val="1"/>
          <w:bCs w:val="1"/>
          <w:color w:val="auto"/>
        </w:rPr>
        <w:t>RSUs</w:t>
      </w:r>
      <w:r>
        <w:rPr>
          <w:rFonts w:ascii="Arial" w:cs="Arial" w:eastAsia="Arial" w:hAnsi="Arial"/>
          <w:sz w:val="16"/>
          <w:szCs w:val="16"/>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number of awarded RSUs is stated in the Award Details above.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Each RSU entitles the Participant to receive one (1) share of nominally DKK 1 in the Company provided the vesting condition set out in Clause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3.2 is met (continued employment during the Vesting Period).</w:t>
      </w:r>
    </w:p>
    <w:p>
      <w:pPr>
        <w:spacing w:after="0" w:line="211" w:lineRule="exact"/>
        <w:rPr>
          <w:sz w:val="20"/>
          <w:szCs w:val="20"/>
          <w:color w:val="auto"/>
        </w:rPr>
      </w:pPr>
    </w:p>
    <w:p>
      <w:pPr>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It is a condition for the award of RSUs as set out in this Award Agreement that the Participant has entered into an employment contract with the Company or a subsidiary of the Company (the "</w:t>
      </w:r>
      <w:r>
        <w:rPr>
          <w:rFonts w:ascii="Arial" w:cs="Arial" w:eastAsia="Arial" w:hAnsi="Arial"/>
          <w:sz w:val="17"/>
          <w:szCs w:val="17"/>
          <w:b w:val="1"/>
          <w:bCs w:val="1"/>
          <w:color w:val="auto"/>
        </w:rPr>
        <w:t>Employer</w:t>
      </w:r>
      <w:r>
        <w:rPr>
          <w:rFonts w:ascii="Arial" w:cs="Arial" w:eastAsia="Arial" w:hAnsi="Arial"/>
          <w:sz w:val="17"/>
          <w:szCs w:val="17"/>
          <w:color w:val="auto"/>
        </w:rPr>
        <w:t>"), and not under notice, at the date of this Award Agreement.</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The award of RSUs under this Award Agreement does not entitle the Participant to future awards or participation in future reward plans.</w:t>
      </w:r>
    </w:p>
    <w:p>
      <w:pPr>
        <w:spacing w:after="0" w:line="22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RSUs</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RSUs vest in equal tranches over three years after the date of award, with 1/3 of the RSUs vesting each year. This means that the first 1/3 of the RSUs will vest on May 25, 2023, the second 1/3 will vest on May 25, 2024 and the final 1/3 on May 25, 2025. The date on which the RSUs vest is referred to as the "</w:t>
      </w:r>
      <w:r>
        <w:rPr>
          <w:rFonts w:ascii="Arial" w:cs="Arial" w:eastAsia="Arial" w:hAnsi="Arial"/>
          <w:sz w:val="18"/>
          <w:szCs w:val="18"/>
          <w:b w:val="1"/>
          <w:bCs w:val="1"/>
          <w:color w:val="auto"/>
        </w:rPr>
        <w:t>Vesting Date</w:t>
      </w:r>
      <w:r>
        <w:rPr>
          <w:rFonts w:ascii="Arial" w:cs="Arial" w:eastAsia="Arial" w:hAnsi="Arial"/>
          <w:sz w:val="18"/>
          <w:szCs w:val="18"/>
          <w:color w:val="auto"/>
        </w:rPr>
        <w:t>". RSUs are not subject to any performance targets. The period from the award date until the Vesting Date is referred to as the "</w:t>
      </w:r>
      <w:r>
        <w:rPr>
          <w:rFonts w:ascii="Arial" w:cs="Arial" w:eastAsia="Arial" w:hAnsi="Arial"/>
          <w:sz w:val="18"/>
          <w:szCs w:val="18"/>
          <w:b w:val="1"/>
          <w:bCs w:val="1"/>
          <w:color w:val="auto"/>
        </w:rPr>
        <w:t>Vesting Period</w:t>
      </w:r>
      <w:r>
        <w:rPr>
          <w:rFonts w:ascii="Arial" w:cs="Arial" w:eastAsia="Arial" w:hAnsi="Arial"/>
          <w:sz w:val="18"/>
          <w:szCs w:val="18"/>
          <w:color w:val="auto"/>
        </w:rPr>
        <w:t>".</w:t>
      </w:r>
    </w:p>
    <w:p>
      <w:pPr>
        <w:spacing w:after="0" w:line="18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For the RSUs to vest, the Participant must be employed by the Employer throughout the Vesting Period until and including the Vesting Date and must not be under notice of termination.</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4" w:name="page275"/>
    <w:bookmarkEnd w:id="274"/>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ORDINARY DELIVERY OF SHARES BASED ON RSUs</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Subject to the Participant's continued employment, shares will automatically be delivered by the Company to the Participant at the first open trading window, as set out in the internal rules of the Company, following the expiry of each Vesting Date. Delivery will take place as soon as reasonably practicable following the first date on which the company anticipates or reasonably should anticipate that delivery of the shares will not cause a violation of Federal securities laws or other applicable law.</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It is a precondition for the Company's transfer of shares to the Participant that the Participant opens a securities account with a Danish bank. Any costs arising from such securities account shall be borne by the Participant.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Shares shall be delivered by the Company free of charge.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Costs related to the transfer of shares to the Participant’s account will be borne by the Company.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Any sale of shares received by a Participant under this Award Agreement is subject to the provisions on insider trading applicable at any time.</w:t>
      </w:r>
    </w:p>
    <w:p>
      <w:pPr>
        <w:spacing w:after="0" w:line="221"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EXTRAORDINARY VESTING AND DELIVERY OF SHARES BASED ON RSUs CONSIDERED VESTED</w:t>
      </w:r>
    </w:p>
    <w:p>
      <w:pPr>
        <w:spacing w:after="0" w:line="229"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In addition to the ordinary delivery of shares as set out in Clause 4, the Board may, at their sole discretion, at any time during the Vesting Period decide that the Company extraordinarily shall deliver shares based on RSUs to the Participant. The Board may decide so including, but not limited to, in connection with extraordinary events such as liquidation of the Company, the general meeting of the Company passes a resolution to merge or demerge the Company, significant divestments, a voluntary or mandatory public offer is made, a compulsory acquisition of the Company's shares pursuant to the Danish Companies Act, delisting of the Company, etc.</w:t>
      </w:r>
    </w:p>
    <w:p>
      <w:pPr>
        <w:spacing w:after="0" w:line="172"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If the Participant ceases to be employed by the Employer - regardless of the reason - all the Participant's RSUs that have not vested at the time where the notice of termination was served (regardless of the date of expiry of the employment relationship) shall automatically and without further notice or compensation lapse and become null and void.</w:t>
      </w:r>
    </w:p>
    <w:p>
      <w:pPr>
        <w:spacing w:after="0" w:line="180"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CLAW-BACK</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If the RSUs have been awarded or vested based on data which turns out to have been falsified, or materially or manifestly misstated, the Company shall be entitled to:</w:t>
      </w:r>
    </w:p>
    <w:p>
      <w:pPr>
        <w:spacing w:after="0" w:line="170"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cancel RSUs obtained by the Participant in relation to the incorrect information or figures,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reclaim from the Participant, in full or in part, any undue value of shares in the Company delivered.</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If any amount reclaimed is not settled within 14 days after the Company's written demand to the Participant, the Company may set off any amounts repayable pursuant to Clause 7.1 against any outstanding or future amounts owed by the Company to the Participant, including any salary payments or other remuneration.</w:t>
      </w:r>
    </w:p>
    <w:p>
      <w:pPr>
        <w:spacing w:after="0" w:line="180"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TAX IMPLICATIONS</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tax implications related to the RSUs are a personal matter for the Participant. The Participant is encouraged to seek advice from a public accountant or another tax consultant at their own expense.</w:t>
      </w:r>
    </w:p>
    <w:p>
      <w:pPr>
        <w:spacing w:after="0" w:line="170"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In the event that, as a consequence of the allotment of RSUs or the delivery of shares, the Company or the Employer becomes obliged to pay any taxes, social security contributions or any other taxes or contributions, the Company reserves the right to postpone or prohibit delivery of the shares until such time as the Participant shall have paid to the Company or to the Employer, the relevant amount of such taxes, social security contributions or any other taxes or contributions. The Company or, as applicable, the relevant Employer reserves the right to (i) deduct the amount of such taxes, social security contributions or other taxes or contributions from the salary payable to the Participant, or (ii) to dispose all of or part of the shares in order to satisfy the Participant's obligations.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5" w:name="page276"/>
    <w:bookmarkEnd w:id="275"/>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COMPANY´S CAPITAL AND DIVIDEND</w:t>
      </w:r>
    </w:p>
    <w:p>
      <w:pPr>
        <w:spacing w:after="0" w:line="229"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If the Company issues new shares, warrants, convertible bonds etc. that give the holder the right to subscribe for new shares in the Company; reduces or increases its share capital to any other price than the market price; merges as the surviving company; changes the nominal value of the shares; issues bonus shares or pays dividend, the number of RSUs shall not be adjusted. However, the Board may decide to adjust the number of RSUs. When calculating an adjustment, if any, the amount is to be rounded down to the next whole number of RSUs.</w:t>
      </w:r>
    </w:p>
    <w:p>
      <w:pPr>
        <w:spacing w:after="0" w:line="157"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If the Board decides to adjust the number of RSUs, The Company shall ask its auditor or an independent third party appointed by the Company to calculate whether the number of RSUs shall be adjusted and, if so, the adjustment to be made. The result of the calculation will be forwarded to the Company and then to the Participant. The auditor's or the other independent third party's calculation is final and binding on the Company and the Participant. The costs to the auditor or independent third party shall be paid by the Company.</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If the Company pays any dividend, the number of RSUs is not to be adjusted unless otherwise decided by the Board at its sole discretion.</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During the Vesting Period, the Participant shall not have any right based on the Participant's holding of RSUs to vote at shareholders' general meetings of the Company, nor any right to receive dividends in respect of the RSUs.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CASH SETTLEMENT</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If the Participant acquires the right to receive shares based on vested RSUs, the Company may decide to make the settlement in cash instead of delivering shares.</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If the Company decides to settle in cash, the value of each share shall shall be determined based on the average closing share price of the shares for the three-day trading period following the latest open trading window prior to the latest date on which shares should have been delivered to the Participant.</w:t>
      </w:r>
    </w:p>
    <w:p>
      <w:pPr>
        <w:spacing w:after="0" w:line="18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If the Company decides to make the settlement in cash instead of delivering shares, the Company must inform the Employer hereof no later than on the date when the Company was to deliver the shares.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OTHER TERMS AND CONDITIONS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RSUs are a personal right that cannot be assigned, pledged or used as payment to the Participant's creditors.</w:t>
      </w:r>
    </w:p>
    <w:p>
      <w:pPr>
        <w:spacing w:after="0" w:line="225"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In addition to the specific provisions in this Award Agreement entitling the Board to make adjustments or changes to the award of RSUs, the Board is entitled to amend the Award Agreement, effective for all RSUs awarded or vested, at the Board’s sole discretion.</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RSUs and the shares or the value of such shares is not to be included in calculations based on the Participant's salary, including any pension contributions, severance payment, any other agreed or compulsory compensation or damages etc., just as holiday pay or holiday allowance is not to be calculated on the basis of the value of any RSUs or shares.</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In one or several periods the Company may suspend or change the awarding of RSUs and/or the delivery of shares if the Company deems it necessary in order for the Company or its subsidiaries to comply with relevant Danish and foreign legislation and administrative rules and regulations. If due to the suspension, the RSUs and/or the shares cannot be awarded/delivered, the awarding/delivery will take place as soon as possible.</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Should any provision of this Award Agreement be or become invalid in whole or in part, this shall not affect the validity of the remaining provisions of the Award Agreement. The invalid provision shall be replaced by a provision permitted by statute which most closely approximates the intended economic result of the invalid provision.</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6" w:name="page277"/>
    <w:bookmarkEnd w:id="276"/>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DATA PROTECTION</w:t>
      </w:r>
    </w:p>
    <w:p>
      <w:pPr>
        <w:spacing w:after="0" w:line="22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In accordance with the General Data Protection Regulation, the Participant is hereby informed that the personal data relating to the Participant's name, contact details, holding of RSUs and shares and salary will be processed to administer the RSUs, to ensure fulfillment of the Company’s contractual obligations toward the Participant, and to comply with applicable laws, regulations and court orders. The personal data will further be transferred from the Employer where the Participant is employed to other employers, to the online administration platform provider or to public authorities to the extent required in connection with the allocation or administration of the RSUs. More comprehensive information about the processing of the Participant’s personal data, including the Participant’s rights with respect to such processing, can be found on the Company’s intranet.</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GOVERNING LAW AND VENUE</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construction, validity and performance of this Award Agreement shall be governed by and construed in accordance with the laws of Denmark without regard to conflicts of laws principles.</w:t>
      </w:r>
    </w:p>
    <w:p>
      <w:pPr>
        <w:spacing w:after="0" w:line="170"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Any dispute, controversy or claim arising out of or relating to this Award Agreement, or its breach, termination or validity shall be settled by the Danish courts according to Danish law, unless the Company decides to settle the dispute by arbitration. Should the Company decide to do so, such dispute shall be finally settled by arbitration in accordance with the Rules of Procedure of the Danish Institute of Arbitration. The place of the arbitration shall be Copenhagen, Denmark and the language of the proceedings shall be English, unless otherwise agreed. If more than one Participant becomes subject to arbitration proceedings, fully or partly due to the same set of factual circumstances, such parties agree that the cases can be dealt with jointly by one arbitration tribunal. The arbitration tribunal shall decide the distribution of costs connected with the arbitration case. The existence of an arbitration case as well as any ruling made by the arbitration tribunal shall be kept in strict confidence.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ACCEPTANCE OF THE TERMS</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By accepting and signing this Award Agreement electronically, the Participant agrees, accepts and is aware of the provisions as set forth in this Award Agreement including the Award Details and Vesting Details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Acceptance</w:t>
      </w:r>
    </w:p>
    <w:p>
      <w:pPr>
        <w:spacing w:after="0" w:line="209" w:lineRule="exact"/>
        <w:rPr>
          <w:sz w:val="20"/>
          <w:szCs w:val="20"/>
          <w:color w:val="auto"/>
        </w:rPr>
      </w:pPr>
    </w:p>
    <w:p>
      <w:pPr>
        <w:spacing w:after="0"/>
        <w:rPr>
          <w:sz w:val="20"/>
          <w:szCs w:val="20"/>
          <w:color w:val="auto"/>
        </w:rPr>
      </w:pPr>
      <w:r>
        <w:rPr>
          <w:sz w:val="1"/>
          <w:szCs w:val="1"/>
          <w:color w:val="auto"/>
        </w:rPr>
        <w:drawing>
          <wp:inline distT="0" distB="0" distL="0" distR="0">
            <wp:extent cx="299720" cy="24828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299720" cy="248285"/>
                    </a:xfrm>
                    <a:prstGeom prst="rect">
                      <a:avLst/>
                    </a:prstGeom>
                    <a:noFill/>
                    <a:ln>
                      <a:noFill/>
                    </a:ln>
                  </pic:spPr>
                </pic:pic>
              </a:graphicData>
            </a:graphic>
          </wp:inline>
        </w:drawing>
      </w:r>
      <w:r>
        <w:rPr>
          <w:rFonts w:ascii="Arial" w:cs="Arial" w:eastAsia="Arial" w:hAnsi="Arial"/>
          <w:sz w:val="16"/>
          <w:szCs w:val="16"/>
          <w:color w:val="auto"/>
        </w:rPr>
        <w:t>I accept, agree and is aware that I will be bound by the terms and conditions set out in the above Award Agreement including the Award Details.</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154305</wp:posOffset>
            </wp:positionV>
            <wp:extent cx="1800225" cy="6769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180022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Restricted Stock Units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40" w:type="dxa"/>
            <w:vAlign w:val="bottom"/>
          </w:tcPr>
          <w:p>
            <w:pPr>
              <w:ind w:left="1660"/>
              <w:spacing w:after="0"/>
              <w:rPr>
                <w:sz w:val="20"/>
                <w:szCs w:val="20"/>
                <w:color w:val="auto"/>
              </w:rPr>
            </w:pPr>
            <w:r>
              <w:rPr>
                <w:rFonts w:ascii="Arial" w:cs="Arial" w:eastAsia="Arial" w:hAnsi="Arial"/>
                <w:sz w:val="18"/>
                <w:szCs w:val="18"/>
                <w:color w:val="auto"/>
              </w:rPr>
              <w:t>STRICTLY CONFIDENTIAL</w:t>
            </w: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70"/>
        </w:trPr>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432"/>
        </w:trPr>
        <w:tc>
          <w:tcPr>
            <w:tcW w:w="1660" w:type="dxa"/>
            <w:vAlign w:val="bottom"/>
            <w:shd w:val="clear" w:color="auto" w:fill="BABABA"/>
          </w:tcPr>
          <w:p>
            <w:pPr>
              <w:ind w:left="100"/>
              <w:spacing w:after="0"/>
              <w:rPr>
                <w:sz w:val="20"/>
                <w:szCs w:val="20"/>
                <w:color w:val="auto"/>
              </w:rPr>
            </w:pPr>
            <w:r>
              <w:rPr>
                <w:rFonts w:ascii="Arial" w:cs="Arial" w:eastAsia="Arial" w:hAnsi="Arial"/>
                <w:sz w:val="18"/>
                <w:szCs w:val="18"/>
                <w:b w:val="1"/>
                <w:bCs w:val="1"/>
                <w:color w:val="auto"/>
              </w:rPr>
              <w:t>Submit</w:t>
            </w:r>
          </w:p>
        </w:tc>
        <w:tc>
          <w:tcPr>
            <w:tcW w:w="40" w:type="dxa"/>
            <w:vAlign w:val="bottom"/>
          </w:tcPr>
          <w:p>
            <w:pPr>
              <w:spacing w:after="0"/>
              <w:rPr>
                <w:sz w:val="24"/>
                <w:szCs w:val="24"/>
                <w:color w:val="auto"/>
              </w:rPr>
            </w:pPr>
          </w:p>
        </w:tc>
        <w:tc>
          <w:tcPr>
            <w:tcW w:w="5540" w:type="dxa"/>
            <w:vAlign w:val="bottom"/>
            <w:shd w:val="clear" w:color="auto" w:fill="BABABA"/>
          </w:tcPr>
          <w:p>
            <w:pPr>
              <w:ind w:left="100"/>
              <w:spacing w:after="0"/>
              <w:rPr>
                <w:sz w:val="20"/>
                <w:szCs w:val="20"/>
                <w:color w:val="auto"/>
              </w:rPr>
            </w:pPr>
            <w:r>
              <w:rPr>
                <w:rFonts w:ascii="Arial" w:cs="Arial" w:eastAsia="Arial" w:hAnsi="Arial"/>
                <w:sz w:val="18"/>
                <w:szCs w:val="18"/>
                <w:b w:val="1"/>
                <w:bCs w:val="1"/>
                <w:color w:val="auto"/>
              </w:rPr>
              <w:t>Deadline</w:t>
            </w:r>
          </w:p>
        </w:tc>
        <w:tc>
          <w:tcPr>
            <w:tcW w:w="40" w:type="dxa"/>
            <w:vAlign w:val="bottom"/>
          </w:tcPr>
          <w:p>
            <w:pPr>
              <w:spacing w:after="0"/>
              <w:rPr>
                <w:sz w:val="24"/>
                <w:szCs w:val="24"/>
                <w:color w:val="auto"/>
              </w:rPr>
            </w:pPr>
          </w:p>
        </w:tc>
        <w:tc>
          <w:tcPr>
            <w:tcW w:w="1660" w:type="dxa"/>
            <w:vAlign w:val="bottom"/>
            <w:shd w:val="clear" w:color="auto" w:fill="BABABA"/>
          </w:tcPr>
          <w:p>
            <w:pPr>
              <w:ind w:left="100"/>
              <w:spacing w:after="0"/>
              <w:rPr>
                <w:sz w:val="20"/>
                <w:szCs w:val="20"/>
                <w:color w:val="auto"/>
              </w:rPr>
            </w:pPr>
            <w:r>
              <w:rPr>
                <w:rFonts w:ascii="Arial" w:cs="Arial" w:eastAsia="Arial" w:hAnsi="Arial"/>
                <w:sz w:val="18"/>
                <w:szCs w:val="18"/>
                <w:b w:val="1"/>
                <w:bCs w:val="1"/>
                <w:color w:val="auto"/>
              </w:rPr>
              <w:t>Status</w:t>
            </w:r>
          </w:p>
        </w:tc>
        <w:tc>
          <w:tcPr>
            <w:tcW w:w="20" w:type="dxa"/>
            <w:vAlign w:val="bottom"/>
          </w:tcPr>
          <w:p>
            <w:pPr>
              <w:spacing w:after="0"/>
              <w:rPr>
                <w:sz w:val="24"/>
                <w:szCs w:val="24"/>
                <w:color w:val="auto"/>
              </w:rPr>
            </w:pPr>
          </w:p>
        </w:tc>
        <w:tc>
          <w:tcPr>
            <w:tcW w:w="2220" w:type="dxa"/>
            <w:vAlign w:val="bottom"/>
            <w:shd w:val="clear" w:color="auto" w:fill="BABABA"/>
          </w:tcPr>
          <w:p>
            <w:pPr>
              <w:ind w:left="100"/>
              <w:spacing w:after="0"/>
              <w:rPr>
                <w:sz w:val="20"/>
                <w:szCs w:val="20"/>
                <w:color w:val="auto"/>
              </w:rPr>
            </w:pPr>
            <w:r>
              <w:rPr>
                <w:rFonts w:ascii="Arial" w:cs="Arial" w:eastAsia="Arial" w:hAnsi="Arial"/>
                <w:sz w:val="18"/>
                <w:szCs w:val="18"/>
                <w:b w:val="1"/>
                <w:bCs w:val="1"/>
                <w:color w:val="auto"/>
              </w:rPr>
              <w:t>Award Status</w:t>
            </w:r>
          </w:p>
        </w:tc>
      </w:tr>
      <w:tr>
        <w:trPr>
          <w:trHeight w:val="216"/>
        </w:trPr>
        <w:tc>
          <w:tcPr>
            <w:tcW w:w="1660" w:type="dxa"/>
            <w:vAlign w:val="bottom"/>
            <w:shd w:val="clear" w:color="auto" w:fill="BABABA"/>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shd w:val="clear" w:color="auto" w:fill="BABABA"/>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shd w:val="clear" w:color="auto" w:fill="BABABA"/>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shd w:val="clear" w:color="auto" w:fill="BABABA"/>
          </w:tcPr>
          <w:p>
            <w:pPr>
              <w:spacing w:after="0"/>
              <w:rPr>
                <w:sz w:val="18"/>
                <w:szCs w:val="18"/>
                <w:color w:val="auto"/>
              </w:rPr>
            </w:pPr>
          </w:p>
        </w:tc>
      </w:tr>
      <w:tr>
        <w:trPr>
          <w:trHeight w:val="27"/>
        </w:trPr>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432"/>
        </w:trPr>
        <w:tc>
          <w:tcPr>
            <w:tcW w:w="16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4"/>
                <w:szCs w:val="24"/>
                <w:color w:val="auto"/>
              </w:rPr>
            </w:pPr>
          </w:p>
        </w:tc>
        <w:tc>
          <w:tcPr>
            <w:tcW w:w="5540" w:type="dxa"/>
            <w:vAlign w:val="bottom"/>
            <w:shd w:val="clear" w:color="auto" w:fill="DBDBDB"/>
          </w:tcPr>
          <w:p>
            <w:pPr>
              <w:ind w:left="100"/>
              <w:spacing w:after="0"/>
              <w:rPr>
                <w:sz w:val="20"/>
                <w:szCs w:val="20"/>
                <w:color w:val="auto"/>
              </w:rPr>
            </w:pPr>
            <w:r>
              <w:rPr>
                <w:rFonts w:ascii="Arial" w:cs="Arial" w:eastAsia="Arial" w:hAnsi="Arial"/>
                <w:sz w:val="18"/>
                <w:szCs w:val="18"/>
                <w:color w:val="auto"/>
              </w:rPr>
              <w:t>20-April-2022 17:00 (UTC+01:00)</w:t>
            </w:r>
          </w:p>
        </w:tc>
        <w:tc>
          <w:tcPr>
            <w:tcW w:w="40" w:type="dxa"/>
            <w:vAlign w:val="bottom"/>
          </w:tcPr>
          <w:p>
            <w:pPr>
              <w:spacing w:after="0"/>
              <w:rPr>
                <w:sz w:val="24"/>
                <w:szCs w:val="24"/>
                <w:color w:val="auto"/>
              </w:rPr>
            </w:pPr>
          </w:p>
        </w:tc>
        <w:tc>
          <w:tcPr>
            <w:tcW w:w="16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Pending</w:t>
            </w:r>
          </w:p>
        </w:tc>
        <w:tc>
          <w:tcPr>
            <w:tcW w:w="20" w:type="dxa"/>
            <w:vAlign w:val="bottom"/>
          </w:tcPr>
          <w:p>
            <w:pPr>
              <w:spacing w:after="0"/>
              <w:rPr>
                <w:sz w:val="24"/>
                <w:szCs w:val="24"/>
                <w:color w:val="auto"/>
              </w:rPr>
            </w:pPr>
          </w:p>
        </w:tc>
        <w:tc>
          <w:tcPr>
            <w:tcW w:w="2220" w:type="dxa"/>
            <w:vAlign w:val="bottom"/>
            <w:shd w:val="clear" w:color="auto" w:fill="BABABA"/>
          </w:tcPr>
          <w:p>
            <w:pPr>
              <w:ind w:left="100"/>
              <w:spacing w:after="0"/>
              <w:rPr>
                <w:sz w:val="20"/>
                <w:szCs w:val="20"/>
                <w:color w:val="auto"/>
              </w:rPr>
            </w:pPr>
            <w:r>
              <w:rPr>
                <w:rFonts w:ascii="Arial" w:cs="Arial" w:eastAsia="Arial" w:hAnsi="Arial"/>
                <w:sz w:val="18"/>
                <w:szCs w:val="18"/>
                <w:color w:val="auto"/>
              </w:rPr>
              <w:t>Active</w:t>
            </w:r>
          </w:p>
        </w:tc>
      </w:tr>
      <w:tr>
        <w:trPr>
          <w:trHeight w:val="216"/>
        </w:trPr>
        <w:tc>
          <w:tcPr>
            <w:tcW w:w="1660" w:type="dxa"/>
            <w:vAlign w:val="bottom"/>
            <w:shd w:val="clear" w:color="auto" w:fill="DBDBDB"/>
          </w:tcPr>
          <w:p>
            <w:pPr>
              <w:spacing w:after="0"/>
              <w:rPr>
                <w:sz w:val="18"/>
                <w:szCs w:val="18"/>
                <w:color w:val="auto"/>
              </w:rPr>
            </w:pPr>
          </w:p>
        </w:tc>
        <w:tc>
          <w:tcPr>
            <w:tcW w:w="40" w:type="dxa"/>
            <w:vAlign w:val="bottom"/>
          </w:tcPr>
          <w:p>
            <w:pPr>
              <w:spacing w:after="0"/>
              <w:rPr>
                <w:sz w:val="18"/>
                <w:szCs w:val="18"/>
                <w:color w:val="auto"/>
              </w:rPr>
            </w:pPr>
          </w:p>
        </w:tc>
        <w:tc>
          <w:tcPr>
            <w:tcW w:w="5540" w:type="dxa"/>
            <w:vAlign w:val="bottom"/>
            <w:shd w:val="clear" w:color="auto" w:fill="DBDBDB"/>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shd w:val="clear" w:color="auto" w:fill="BABABA"/>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Congratulations!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are hereby invited to participate in Zealand’s 2022 RSU plan for Board of Directors, and receive an Award of Restricted Stock Units, subject to the terms and conditions as set out below in the Award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171450</wp:posOffset>
            </wp:positionV>
            <wp:extent cx="6454775" cy="8401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6454775" cy="8401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1457325</wp:posOffset>
            </wp:positionV>
            <wp:extent cx="713232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color w:val="auto"/>
        </w:rPr>
        <w:t>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RESTRICTED STOCK UNIT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Award Agreement</w:t>
      </w:r>
      <w:r>
        <w:rPr>
          <w:rFonts w:ascii="Arial" w:cs="Arial" w:eastAsia="Arial" w:hAnsi="Arial"/>
          <w:sz w:val="18"/>
          <w:szCs w:val="18"/>
          <w:color w:val="auto"/>
        </w:rPr>
        <w:t>") on Restricted Share Units is entered into on April 20, 2022 between:</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Zealand Pharma A/S, CVR no. 20 04 50 78, Sydmarken 11, DK-2860 Søborg, Denmark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1520" w:firstLine="8"/>
        <w:spacing w:after="0" w:line="530" w:lineRule="auto"/>
        <w:tabs>
          <w:tab w:leader="none" w:pos="64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person who has accepted this Award Agreement, thereby becoming a holder of Restricted Share Units (the “</w:t>
      </w:r>
      <w:r>
        <w:rPr>
          <w:rFonts w:ascii="Arial" w:cs="Arial" w:eastAsia="Arial" w:hAnsi="Arial"/>
          <w:sz w:val="17"/>
          <w:szCs w:val="17"/>
          <w:b w:val="1"/>
          <w:bCs w:val="1"/>
          <w:color w:val="auto"/>
        </w:rPr>
        <w:t>Participant</w:t>
      </w:r>
      <w:r>
        <w:rPr>
          <w:rFonts w:ascii="Arial" w:cs="Arial" w:eastAsia="Arial" w:hAnsi="Arial"/>
          <w:sz w:val="17"/>
          <w:szCs w:val="17"/>
          <w:color w:val="auto"/>
        </w:rPr>
        <w:t>”) - the Company and the Participant hereinafter collectively referred to as the "</w:t>
      </w:r>
      <w:r>
        <w:rPr>
          <w:rFonts w:ascii="Arial" w:cs="Arial" w:eastAsia="Arial" w:hAnsi="Arial"/>
          <w:sz w:val="17"/>
          <w:szCs w:val="17"/>
          <w:b w:val="1"/>
          <w:bCs w:val="1"/>
          <w:color w:val="auto"/>
        </w:rPr>
        <w:t>Parties</w:t>
      </w:r>
      <w:r>
        <w:rPr>
          <w:rFonts w:ascii="Arial" w:cs="Arial" w:eastAsia="Arial" w:hAnsi="Arial"/>
          <w:sz w:val="17"/>
          <w:szCs w:val="17"/>
          <w:color w:val="auto"/>
        </w:rPr>
        <w:t>" and separately as a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1"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purpose of this Award Agreement is to attract, retain and motivate the Participant by creating a common interest in the Company’s growth and the development of the share price. By offering RSUs (as defined below), the Company also wants to ensure the maximization of shareholder value of the Company.</w:t>
      </w:r>
    </w:p>
    <w:p>
      <w:pPr>
        <w:spacing w:after="0" w:line="18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This Award Agreement is entered into by the Parties as part of the Company's award of Restricted Share Units to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the Executive Management, and all employees (the "</w:t>
      </w:r>
      <w:r>
        <w:rPr>
          <w:rFonts w:ascii="Arial" w:cs="Arial" w:eastAsia="Arial" w:hAnsi="Arial"/>
          <w:sz w:val="18"/>
          <w:szCs w:val="18"/>
          <w:b w:val="1"/>
          <w:bCs w:val="1"/>
          <w:color w:val="auto"/>
        </w:rPr>
        <w:t>RSU Awards 2022</w:t>
      </w:r>
      <w:r>
        <w:rPr>
          <w:rFonts w:ascii="Arial" w:cs="Arial" w:eastAsia="Arial" w:hAnsi="Arial"/>
          <w:sz w:val="18"/>
          <w:szCs w:val="18"/>
          <w:color w:val="auto"/>
        </w:rPr>
        <w:t>").</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 xml:space="preserve">It is underlined that the Participant - in relation to the Company - shall in the capacity as member of the Board be regarded as independent and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as an employee of the Company. Therefore, the member in question will not in relation to the Company be covered by the Danish Salaried Employees Act, the Danish Holiday Act, the Danish Employment Contracts Act or other legislation governing the legal relationship between employer and employee.</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Award Agreement is subject to the Company's Remuneration Policy as adopted by the general meeting at the Company's annual general meeting held on April 6, 2022.</w:t>
      </w:r>
    </w:p>
    <w:p>
      <w:pPr>
        <w:spacing w:after="0" w:line="166"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AWARD OF RSUS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Participant is awarded Restricted Stock Units in the Company free of charge (the "</w:t>
      </w:r>
      <w:r>
        <w:rPr>
          <w:rFonts w:ascii="Arial" w:cs="Arial" w:eastAsia="Arial" w:hAnsi="Arial"/>
          <w:sz w:val="16"/>
          <w:szCs w:val="16"/>
          <w:b w:val="1"/>
          <w:bCs w:val="1"/>
          <w:color w:val="auto"/>
        </w:rPr>
        <w:t>RSUs</w:t>
      </w:r>
      <w:r>
        <w:rPr>
          <w:rFonts w:ascii="Arial" w:cs="Arial" w:eastAsia="Arial" w:hAnsi="Arial"/>
          <w:sz w:val="16"/>
          <w:szCs w:val="16"/>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Each RSU entitles the Participant to receive one (1) share of nominally DKK 1 in the Company provided the vesting condition set out in Clause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 is met (continued membership of the Board).</w:t>
      </w:r>
    </w:p>
    <w:p>
      <w:pPr>
        <w:spacing w:after="0" w:line="211"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It is a condition for the award of RSUs as set out in this Award Agreement that the Participant is member of the Board at the date of this Award Agreement.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award of RSUs under this Award Agreement does not entitle the Participant to future awards or participation in future reward plans.</w:t>
      </w:r>
    </w:p>
    <w:p>
      <w:pPr>
        <w:spacing w:after="0" w:line="22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RSUS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RSUs vest on the date of the Company's annual general meeting 2023 (the "</w:t>
      </w:r>
      <w:r>
        <w:rPr>
          <w:rFonts w:ascii="Arial" w:cs="Arial" w:eastAsia="Arial" w:hAnsi="Arial"/>
          <w:sz w:val="16"/>
          <w:szCs w:val="16"/>
          <w:b w:val="1"/>
          <w:bCs w:val="1"/>
          <w:color w:val="auto"/>
        </w:rPr>
        <w:t>Vesting Period</w:t>
      </w:r>
      <w:r>
        <w:rPr>
          <w:rFonts w:ascii="Arial" w:cs="Arial" w:eastAsia="Arial" w:hAnsi="Arial"/>
          <w:sz w:val="16"/>
          <w:szCs w:val="16"/>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RSUs are not subject to any performance targets.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For the RSUs to vest, the Participant must have been a member of the Board throughout the entire Vesting Period.</w:t>
      </w:r>
    </w:p>
    <w:p>
      <w:pPr>
        <w:spacing w:after="0" w:line="22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ORDINARY DELIVERY OF SHARES</w:t>
      </w:r>
    </w:p>
    <w:p>
      <w:pPr>
        <w:spacing w:after="0" w:line="229" w:lineRule="exact"/>
        <w:rPr>
          <w:sz w:val="20"/>
          <w:szCs w:val="20"/>
          <w:color w:val="auto"/>
        </w:rPr>
      </w:pPr>
    </w:p>
    <w:p>
      <w:pPr>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Subject to the Participant's continued membership of the Board, shares will automatically be delivered by the Company to the Participant at the first open trading window, as set out in the internal rules of the Company, following the expiry of the Vesting Period.</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Shares shall be delivered by the Company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9" w:name="page280"/>
    <w:bookmarkEnd w:id="279"/>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Costs related to the transfer of shares to the Participant’s account in Global Shares will be borne by the Company.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Any sale of shares received by a Participant under this Award Agreement is subject to the provisions on insider trading applicable at any time.</w:t>
      </w:r>
    </w:p>
    <w:p>
      <w:pPr>
        <w:spacing w:after="0" w:line="22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EXTRAORDINARY VESTING AND DELIVERY OF SHARES BASED ON RSUS CONSIDERED VESTED</w:t>
      </w:r>
    </w:p>
    <w:p>
      <w:pPr>
        <w:spacing w:after="0" w:line="229"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In addition to the ordinary delivery of shares as set out in Clause 4, if a decision is made by the Board effective to all participants under the RSU Awards 2022, whereas the Board at any time during the Vesting Period may decide that the Company extraordinarily shall deliver shares based on RSUs to the Participant, such decision shall apply mutatis mutandis to this Award Agreement. The Board may decide so including, but not limited to, in connection with extraordinary events such as liquidation of the Company, the general meeting of the Company passes a resolution to merge or demerge the Company, significant divestments, a voluntary or mandatory public offer is made, a compulsory acquisition of the Company's shares pursuant to the Danish Companies Act, delisting of the Company, etc.</w:t>
      </w:r>
    </w:p>
    <w:p>
      <w:pPr>
        <w:spacing w:after="0" w:line="174"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OFFICE</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If the Participant ceases to be a member of the Board in the Company during the Vesting Period - regardless of the reason - all the Participant's RSUs received as compensation for such Board membership shall automatically and without further notice or compensation lapse and become null and void. For the avoidance of doubt, if the Participant leaves the Board at the annual general meeting 2023 where the RSUs vest, the RSUs shall be considered vested.</w:t>
      </w:r>
    </w:p>
    <w:p>
      <w:pPr>
        <w:spacing w:after="0" w:line="18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If the Participant has received RSUs as compensation for a Committee membership, and ceases to be a member of such Committee during the Vesting Period - regardless of the reason - all the Participant's RSUs relating to such Committee membership shall automatically and without further notice or compensation lapse and become null and void. For the avoidance of doubt, if the Participant leaves the Committee at the annual general meeting 2023 where the RSUs vest, the RSUs shall be considered vested.</w:t>
      </w:r>
    </w:p>
    <w:p>
      <w:pPr>
        <w:spacing w:after="0" w:line="18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HOLDING REQUIREMENT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In accordance with the Company's Remuneration Policy, the Participant shall be subject to a holding requirement equal to an amount of DKK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300,000. With respect to the Participant:</w:t>
      </w:r>
    </w:p>
    <w:p>
      <w:pPr>
        <w:spacing w:after="0" w:line="211" w:lineRule="exact"/>
        <w:rPr>
          <w:sz w:val="20"/>
          <w:szCs w:val="20"/>
          <w:color w:val="auto"/>
        </w:rPr>
      </w:pPr>
    </w:p>
    <w:p>
      <w:pPr>
        <w:jc w:val="both"/>
        <w:ind w:left="980" w:hanging="324"/>
        <w:spacing w:after="0" w:line="259" w:lineRule="auto"/>
        <w:tabs>
          <w:tab w:leader="none" w:pos="980" w:val="left"/>
        </w:tabs>
        <w:numPr>
          <w:ilvl w:val="0"/>
          <w:numId w:val="40"/>
        </w:numPr>
        <w:rPr>
          <w:rFonts w:ascii="Arial" w:cs="Arial" w:eastAsia="Arial" w:hAnsi="Arial"/>
          <w:sz w:val="21"/>
          <w:szCs w:val="21"/>
          <w:color w:val="auto"/>
        </w:rPr>
      </w:pPr>
      <w:r>
        <w:rPr>
          <w:rFonts w:ascii="Arial" w:cs="Arial" w:eastAsia="Arial" w:hAnsi="Arial"/>
          <w:sz w:val="17"/>
          <w:szCs w:val="17"/>
          <w:color w:val="auto"/>
        </w:rPr>
        <w:t>the holding requirement shall be met within a period of 5 years from the date of the general meeting at which the Company's remuneration policy was approved. Until the holding requirement is met, the Participant shall refrain from disposing their shares awarded on the basis of RSUs, apart from disposals in order to satisfy their income tax liabilities arising from the award of RSUs under the Company's Remuneration Policy as adopted by the general meeting at the Company's annual general meeting held on 6 April 2022.</w:t>
      </w:r>
    </w:p>
    <w:p>
      <w:pPr>
        <w:spacing w:after="0" w:line="163" w:lineRule="exact"/>
        <w:rPr>
          <w:rFonts w:ascii="Arial" w:cs="Arial" w:eastAsia="Arial" w:hAnsi="Arial"/>
          <w:sz w:val="21"/>
          <w:szCs w:val="21"/>
          <w:color w:val="auto"/>
        </w:rPr>
      </w:pPr>
    </w:p>
    <w:p>
      <w:pPr>
        <w:ind w:left="980" w:hanging="324"/>
        <w:spacing w:after="0"/>
        <w:tabs>
          <w:tab w:leader="none" w:pos="980" w:val="left"/>
        </w:tabs>
        <w:numPr>
          <w:ilvl w:val="0"/>
          <w:numId w:val="40"/>
        </w:numPr>
        <w:rPr>
          <w:rFonts w:ascii="Arial" w:cs="Arial" w:eastAsia="Arial" w:hAnsi="Arial"/>
          <w:sz w:val="22"/>
          <w:szCs w:val="22"/>
          <w:color w:val="auto"/>
        </w:rPr>
      </w:pPr>
      <w:r>
        <w:rPr>
          <w:rFonts w:ascii="Arial" w:cs="Arial" w:eastAsia="Arial" w:hAnsi="Arial"/>
          <w:sz w:val="18"/>
          <w:szCs w:val="18"/>
          <w:color w:val="auto"/>
        </w:rPr>
        <w:t>can include all shares that are held by the Participant prior to the date of signature of this Award Agreement.</w:t>
      </w:r>
    </w:p>
    <w:p>
      <w:pPr>
        <w:spacing w:after="0" w:line="225"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TAX IMPLICATIONS</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tax implications related to the RSUs are a personal matter for the Participant. The Participant is encouraged to seek advice from a public accountant or another tax consultant at their own expense.</w:t>
      </w:r>
    </w:p>
    <w:p>
      <w:pPr>
        <w:spacing w:after="0" w:line="170" w:lineRule="exact"/>
        <w:rPr>
          <w:sz w:val="20"/>
          <w:szCs w:val="20"/>
          <w:color w:val="auto"/>
        </w:rPr>
      </w:pPr>
    </w:p>
    <w:p>
      <w:pPr>
        <w:jc w:val="both"/>
        <w:ind w:left="660" w:hanging="647"/>
        <w:spacing w:after="0" w:line="296"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In the event that, as a consequence of the allotment of RSUs or the delivery of shares, the Company becomes obliged to pay any taxes, social security contributions or any other taxes or contributions, the Company reserves the right to postpone or prohibit delivery of the shares until such time as the Participant shall have paid to the Company, the relevant amount of such taxes, social security contributions or any other taxes or contributions. The Company reserves the right to (i) deduct the amount of such taxes, social security contributions or other taxes or contributions from the salary payable to the Participant, or (ii) to dispose all of or part of the shares in order to satisfy the Participant's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0" w:name="page281"/>
    <w:bookmarkEnd w:id="280"/>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COMPANY´S CAPITAL AND DIVIDEND</w:t>
      </w:r>
    </w:p>
    <w:p>
      <w:pPr>
        <w:spacing w:after="0" w:line="229"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If the Company issues new shares, warrants, convertible bonds etc. that give the holder the right to subscribe for new shares in the Company; reduces or increases its share capital to any other price than the market price; merges as the surviving company; changes the nominal value of the shares; issues bonus shares or pays dividend, the number of RSUs shall not be adjusted. However, if the Board has made a decision to adjust the number of RSUs effective to all participants under the RSU Awards 2022, such decision shall apply mutatis mutandis to this Award Agreement. When calculating an adjustment, if any, the amount is to be rounded down to the next whole number of RSUs. Any adjustment of the number of RSUs under this Clause 9.1 cannot exceed a total number of 8,000 RSUs to the Participant.</w:t>
      </w:r>
    </w:p>
    <w:p>
      <w:pPr>
        <w:spacing w:after="0" w:line="178"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If the Board decides to adjust the number of RSUs subject to Clause 9.1, the Company shall ask its auditor or an independent third party appointed by the Company to calculate whether the number of RSUs shall be adjusted and, if so, the adjustment to be made. The result of the calculation will be forwarded to the Company and then to the Participant. The auditor's or the other independent third party's calculation is final and binding on the Company and the Participant. The costs to the auditor or independent third party shall be paid by the Company.</w:t>
      </w:r>
    </w:p>
    <w:p>
      <w:pPr>
        <w:spacing w:after="0" w:line="17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If the Company pays any dividend, the number of RSUs is not to be adjusted unless otherwise generally decided under the RSU Awards 2022, which will then apply mutatis mutandis to this Award Agreement.</w:t>
      </w:r>
    </w:p>
    <w:p>
      <w:pPr>
        <w:spacing w:after="0" w:line="170"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Until the shares have been delivered to the Participant pursuant to Clause 4, the Participant shall not have any right based on the Participant's holding of RSUs to vote at shareholders' general meetings of the Company, nor any right to receive dividends in respect of the RSUs.</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CASH SETTLEMENT</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If the Participant acquires the right to receive shares based on vested RSUs, the Company may decide to make the settlement in cash instead of delivering shares.</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If the Company decides to settle in cash, the value of each share shall be determined based on the average closing share price of the shares for the three-day trading period following the latest open trading window prior to the latest date on which shares should have been delivered to the Participant.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OTHER TERMS AND CONDITIONS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RSUs are a personal right that cannot be assigned, pledged or used as payment to the Participant's creditors.</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To the extent any provisions in this Award Agreement entitle the Board with certain rights or powers, the Board must utilize those rights or powers in such way that the Board is treated equally compared to the other participants under the RSU Awards 2022.</w:t>
      </w:r>
    </w:p>
    <w:p>
      <w:pPr>
        <w:spacing w:after="0" w:line="170"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In one or several periods the Company may suspend or change the award of RSUs and/or the delivery of shares if the Company deems it necessary in order for the Company or its subsidiaries to comply with relevant Danish and foreign legislation and administrative rules and regulations. If due to the suspension, the RSUs and/or the shares cannot be awarded/delivered, the award/delivery will take place as soon as possible.</w:t>
      </w:r>
    </w:p>
    <w:p>
      <w:pPr>
        <w:spacing w:after="0" w:line="14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Should any provision of this Award Agreement be or become invalid in whole or in part, this shall not affect the validity of the remaining provisions of the Award Agreement. The invalid provision shall be replaced by a provision permitted by statute which most closely approximates the intended economic result of the invalid provision.</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DATA PROTECTION</w:t>
      </w:r>
    </w:p>
    <w:p>
      <w:pPr>
        <w:spacing w:after="0" w:line="229"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In accordance with the General Data Protection Regulation, the Participant is hereby informed that the personal data relating to the Participant's name, contact details, holding of RSUs and shares and remuneration will be processed to administer the RSUs, to ensure fulfillment of the Company’s contractual obligations toward the Participant, and to comply with applicable laws, regulations and court orders. The personal data will further be transferred to the online administration platform provider or to public authorities to the extent required in connection with the allocation or administration of the RSUs. More comprehensive information about the processing of the Participant’s personal data, including the Participant’s rights with respect to such processing, can be found on the Company’s intranet.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1" w:name="page282"/>
    <w:bookmarkEnd w:id="281"/>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GOVERNING LAW AND VENUE</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construction, validity and performance of this Award Agreement shall be governed by and construed in accordance with the laws of Denmark without regard to conflicts of laws principles.</w:t>
      </w:r>
    </w:p>
    <w:p>
      <w:pPr>
        <w:spacing w:after="0" w:line="170"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Any dispute, controversy or claim arising out of or relating to this Award Agreement, or its breach, termination or validity shall be settled by the Danish courts according to Danish law, unless the Company decides to settle the dispute by arbitration. Should the Company decide to do so, such dispute shall be finally settled by arbitration in accordance with the Rules of Procedure of the Danish Institute of Arbitration. The place of the arbitration shall be Copenhagen, Denmark and the language of the proceedings shall be English, unless otherwise agreed. If more than one Participant becomes subject to arbitration proceedings, fully or partly due to the same set of factual circumstances, such parties agree that the cases can be dealt with jointly by one arbitration tribunal. The arbitration tribunal shall decide the distribution of costs connected with the arbitration case. The existence of an arbitration case as well as any ruling made by the arbitration tribunal shall be kept in strict confidence.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ACCEPTANCE OF THE TERMS</w:t>
      </w:r>
    </w:p>
    <w:p>
      <w:pPr>
        <w:spacing w:after="0" w:line="22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By signing this Award Agreement electronically, the Participant agrees, accepts and is aware of the provisions as set forth in this Award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Acceptance</w:t>
      </w:r>
    </w:p>
    <w:p>
      <w:pPr>
        <w:spacing w:after="0" w:line="209" w:lineRule="exact"/>
        <w:rPr>
          <w:sz w:val="20"/>
          <w:szCs w:val="20"/>
          <w:color w:val="auto"/>
        </w:rPr>
      </w:pPr>
    </w:p>
    <w:p>
      <w:pPr>
        <w:spacing w:after="0"/>
        <w:rPr>
          <w:sz w:val="20"/>
          <w:szCs w:val="20"/>
          <w:color w:val="auto"/>
        </w:rPr>
      </w:pPr>
      <w:r>
        <w:rPr>
          <w:sz w:val="1"/>
          <w:szCs w:val="1"/>
          <w:color w:val="auto"/>
        </w:rPr>
        <w:drawing>
          <wp:inline distT="0" distB="0" distL="0" distR="0">
            <wp:extent cx="299720" cy="24892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299720" cy="248920"/>
                    </a:xfrm>
                    <a:prstGeom prst="rect">
                      <a:avLst/>
                    </a:prstGeom>
                    <a:noFill/>
                    <a:ln>
                      <a:noFill/>
                    </a:ln>
                  </pic:spPr>
                </pic:pic>
              </a:graphicData>
            </a:graphic>
          </wp:inline>
        </w:drawing>
      </w:r>
      <w:r>
        <w:rPr>
          <w:rFonts w:ascii="Arial" w:cs="Arial" w:eastAsia="Arial" w:hAnsi="Arial"/>
          <w:sz w:val="16"/>
          <w:szCs w:val="16"/>
          <w:color w:val="auto"/>
        </w:rPr>
        <w:t>I accept, agree and is aware that I will be bound by the terms and conditions set out in the above Award Agreement including the Award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Zealand Pharma A/S - 2022 Restricted Stock Unit Plan for Board of Directors and 2022 Restricted Stock Unit Plan for Employees in the United States, of our reports dated March 24, 2022, with respect to the consolidated financial statements of Zealand Pharma A/S and the effectiveness of internal control over financial reporting of Zealand Pharma A/S included in its Annual Report (Form 20-F and Form 20-F/A) for the year ended December 31, 2021, filed with the Securities and Exchange Commission.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EY Godkendt Revisionspartnerselskab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Copenhagen, 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ZEALAND PHARMA 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Security</w:t>
            </w:r>
          </w:p>
        </w:tc>
        <w:tc>
          <w:tcPr>
            <w:tcW w:w="1840" w:type="dxa"/>
            <w:vAlign w:val="bottom"/>
          </w:tcPr>
          <w:p>
            <w:pPr>
              <w:ind w:left="600"/>
              <w:spacing w:after="0"/>
              <w:rPr>
                <w:sz w:val="20"/>
                <w:szCs w:val="20"/>
                <w:color w:val="auto"/>
              </w:rPr>
            </w:pPr>
            <w:r>
              <w:rPr>
                <w:rFonts w:ascii="Arial" w:cs="Arial" w:eastAsia="Arial" w:hAnsi="Arial"/>
                <w:sz w:val="18"/>
                <w:szCs w:val="18"/>
                <w:b w:val="1"/>
                <w:bCs w:val="1"/>
                <w:color w:val="auto"/>
              </w:rPr>
              <w:t>Security</w:t>
            </w:r>
          </w:p>
        </w:tc>
      </w:tr>
      <w:tr>
        <w:trPr>
          <w:trHeight w:val="234"/>
        </w:trPr>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Type</w:t>
            </w:r>
          </w:p>
        </w:tc>
        <w:tc>
          <w:tcPr>
            <w:tcW w:w="1840" w:type="dxa"/>
            <w:vAlign w:val="bottom"/>
          </w:tcPr>
          <w:p>
            <w:pPr>
              <w:ind w:left="520"/>
              <w:spacing w:after="0"/>
              <w:rPr>
                <w:sz w:val="20"/>
                <w:szCs w:val="20"/>
                <w:color w:val="auto"/>
              </w:rPr>
            </w:pPr>
            <w:r>
              <w:rPr>
                <w:rFonts w:ascii="Arial" w:cs="Arial" w:eastAsia="Arial" w:hAnsi="Arial"/>
                <w:sz w:val="18"/>
                <w:szCs w:val="18"/>
                <w:b w:val="1"/>
                <w:bCs w:val="1"/>
                <w:color w:val="auto"/>
              </w:rPr>
              <w:t>Class Title</w:t>
            </w:r>
          </w:p>
        </w:tc>
      </w:tr>
      <w:tr>
        <w:trPr>
          <w:trHeight w:val="195"/>
        </w:trPr>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Ordinary Shares, DKK 1</w:t>
            </w:r>
          </w:p>
        </w:tc>
      </w:tr>
      <w:tr>
        <w:trPr>
          <w:trHeight w:val="220"/>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nominal value per</w:t>
            </w:r>
          </w:p>
        </w:tc>
      </w:tr>
      <w:tr>
        <w:trPr>
          <w:trHeight w:val="253"/>
        </w:trPr>
        <w:tc>
          <w:tcPr>
            <w:tcW w:w="11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840" w:type="dxa"/>
            <w:vAlign w:val="bottom"/>
          </w:tcPr>
          <w:p>
            <w:pPr>
              <w:spacing w:after="0" w:line="252" w:lineRule="exact"/>
              <w:rPr>
                <w:sz w:val="20"/>
                <w:szCs w:val="20"/>
                <w:color w:val="auto"/>
              </w:rPr>
            </w:pPr>
            <w:r>
              <w:rPr>
                <w:rFonts w:ascii="Arial" w:cs="Arial" w:eastAsia="Arial" w:hAnsi="Arial"/>
                <w:sz w:val="18"/>
                <w:szCs w:val="18"/>
                <w:color w:val="auto"/>
              </w:rPr>
              <w:t>share</w:t>
            </w:r>
            <w:r>
              <w:rPr>
                <w:rFonts w:ascii="Arial" w:cs="Arial" w:eastAsia="Arial" w:hAnsi="Arial"/>
                <w:sz w:val="29"/>
                <w:szCs w:val="29"/>
                <w:color w:val="auto"/>
                <w:vertAlign w:val="superscript"/>
              </w:rPr>
              <w:t>(4)</w:t>
            </w: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w w:val="91"/>
              </w:rPr>
              <w:t>Zealand Pharma A/S –</w:t>
            </w: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w w:val="94"/>
              </w:rPr>
              <w:t>2022 Restricted Stock</w:t>
            </w: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Unit Plan for</w:t>
            </w: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Employees in the</w:t>
            </w:r>
          </w:p>
        </w:tc>
      </w:tr>
      <w:tr>
        <w:trPr>
          <w:trHeight w:val="229"/>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United States</w:t>
            </w: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w w:val="91"/>
              </w:rPr>
              <w:t>Zealand Pharma A/S –</w:t>
            </w: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w w:val="94"/>
              </w:rPr>
              <w:t>2022 Restricted Stock</w:t>
            </w: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w w:val="96"/>
              </w:rPr>
              <w:t>Unit Plan for Board of</w:t>
            </w:r>
          </w:p>
        </w:tc>
      </w:tr>
      <w:tr>
        <w:trPr>
          <w:trHeight w:val="230"/>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ind w:left="160"/>
              <w:spacing w:after="0"/>
              <w:rPr>
                <w:sz w:val="20"/>
                <w:szCs w:val="20"/>
                <w:color w:val="auto"/>
              </w:rPr>
            </w:pPr>
            <w:r>
              <w:rPr>
                <w:rFonts w:ascii="Arial" w:cs="Arial" w:eastAsia="Arial" w:hAnsi="Arial"/>
                <w:sz w:val="18"/>
                <w:szCs w:val="18"/>
                <w:color w:val="auto"/>
              </w:rPr>
              <w:t>Directors</w:t>
            </w:r>
          </w:p>
        </w:tc>
      </w:tr>
    </w:tbl>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Proposed</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Maximum Offering</w:t>
            </w:r>
          </w:p>
        </w:tc>
        <w:tc>
          <w:tcPr>
            <w:tcW w:w="2340" w:type="dxa"/>
            <w:vAlign w:val="bottom"/>
            <w:gridSpan w:val="3"/>
          </w:tcPr>
          <w:p>
            <w:pPr>
              <w:ind w:left="240"/>
              <w:spacing w:after="0"/>
              <w:rPr>
                <w:sz w:val="20"/>
                <w:szCs w:val="20"/>
                <w:color w:val="auto"/>
              </w:rPr>
            </w:pPr>
            <w:r>
              <w:rPr>
                <w:rFonts w:ascii="Arial" w:cs="Arial" w:eastAsia="Arial" w:hAnsi="Arial"/>
                <w:sz w:val="18"/>
                <w:szCs w:val="18"/>
                <w:b w:val="1"/>
                <w:bCs w:val="1"/>
                <w:color w:val="auto"/>
              </w:rPr>
              <w:t>Maximum</w:t>
            </w:r>
          </w:p>
        </w:tc>
        <w:tc>
          <w:tcPr>
            <w:tcW w:w="180" w:type="dxa"/>
            <w:vAlign w:val="bottom"/>
          </w:tcPr>
          <w:p>
            <w:pPr>
              <w:spacing w:after="0"/>
              <w:rPr>
                <w:sz w:val="18"/>
                <w:szCs w:val="18"/>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Amount of</w:t>
            </w:r>
          </w:p>
        </w:tc>
      </w:tr>
      <w:tr>
        <w:trPr>
          <w:trHeight w:val="220"/>
        </w:trPr>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Fee Calculation</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Price</w:t>
            </w:r>
          </w:p>
        </w:tc>
        <w:tc>
          <w:tcPr>
            <w:tcW w:w="2340" w:type="dxa"/>
            <w:vAlign w:val="bottom"/>
            <w:gridSpan w:val="3"/>
          </w:tcPr>
          <w:p>
            <w:pPr>
              <w:ind w:left="240"/>
              <w:spacing w:after="0"/>
              <w:rPr>
                <w:sz w:val="20"/>
                <w:szCs w:val="20"/>
                <w:color w:val="auto"/>
              </w:rPr>
            </w:pPr>
            <w:r>
              <w:rPr>
                <w:rFonts w:ascii="Arial" w:cs="Arial" w:eastAsia="Arial" w:hAnsi="Arial"/>
                <w:sz w:val="18"/>
                <w:szCs w:val="18"/>
                <w:b w:val="1"/>
                <w:bCs w:val="1"/>
                <w:color w:val="auto"/>
              </w:rPr>
              <w:t>Aggregate</w:t>
            </w:r>
          </w:p>
        </w:tc>
        <w:tc>
          <w:tcPr>
            <w:tcW w:w="11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1"/>
              </w:rPr>
              <w:t>Registration</w:t>
            </w:r>
          </w:p>
        </w:tc>
      </w:tr>
      <w:tr>
        <w:trPr>
          <w:trHeight w:val="271"/>
        </w:trPr>
        <w:tc>
          <w:tcPr>
            <w:tcW w:w="124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6"/>
              </w:rPr>
              <w:t>Rule</w:t>
            </w:r>
            <w:r>
              <w:rPr>
                <w:rFonts w:ascii="Arial" w:cs="Arial" w:eastAsia="Arial" w:hAnsi="Arial"/>
                <w:sz w:val="29"/>
                <w:szCs w:val="29"/>
                <w:b w:val="1"/>
                <w:bCs w:val="1"/>
                <w:color w:val="auto"/>
                <w:w w:val="86"/>
                <w:vertAlign w:val="superscript"/>
              </w:rPr>
              <w:t>(1)</w:t>
            </w:r>
          </w:p>
        </w:tc>
        <w:tc>
          <w:tcPr>
            <w:tcW w:w="380" w:type="dxa"/>
            <w:vAlign w:val="bottom"/>
          </w:tcPr>
          <w:p>
            <w:pPr>
              <w:spacing w:after="0"/>
              <w:rPr>
                <w:sz w:val="23"/>
                <w:szCs w:val="23"/>
                <w:color w:val="auto"/>
              </w:rPr>
            </w:pPr>
          </w:p>
        </w:tc>
        <w:tc>
          <w:tcPr>
            <w:tcW w:w="102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3"/>
              </w:rPr>
              <w:t>Registered</w:t>
            </w:r>
            <w:r>
              <w:rPr>
                <w:rFonts w:ascii="Arial" w:cs="Arial" w:eastAsia="Arial" w:hAnsi="Arial"/>
                <w:sz w:val="29"/>
                <w:szCs w:val="29"/>
                <w:b w:val="1"/>
                <w:bCs w:val="1"/>
                <w:color w:val="auto"/>
                <w:w w:val="83"/>
                <w:vertAlign w:val="superscript"/>
              </w:rPr>
              <w:t>(2)</w:t>
            </w:r>
          </w:p>
        </w:tc>
        <w:tc>
          <w:tcPr>
            <w:tcW w:w="180" w:type="dxa"/>
            <w:vAlign w:val="bottom"/>
          </w:tcPr>
          <w:p>
            <w:pPr>
              <w:spacing w:after="0"/>
              <w:rPr>
                <w:sz w:val="23"/>
                <w:szCs w:val="23"/>
                <w:color w:val="auto"/>
              </w:rPr>
            </w:pPr>
          </w:p>
        </w:tc>
        <w:tc>
          <w:tcPr>
            <w:tcW w:w="154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7"/>
              </w:rPr>
              <w:t>Per Share</w:t>
            </w:r>
            <w:r>
              <w:rPr>
                <w:rFonts w:ascii="Arial" w:cs="Arial" w:eastAsia="Arial" w:hAnsi="Arial"/>
                <w:sz w:val="29"/>
                <w:szCs w:val="29"/>
                <w:b w:val="1"/>
                <w:bCs w:val="1"/>
                <w:color w:val="auto"/>
                <w:w w:val="87"/>
                <w:vertAlign w:val="superscript"/>
              </w:rPr>
              <w:t>(1)</w:t>
            </w:r>
          </w:p>
        </w:tc>
        <w:tc>
          <w:tcPr>
            <w:tcW w:w="200" w:type="dxa"/>
            <w:vAlign w:val="bottom"/>
          </w:tcPr>
          <w:p>
            <w:pPr>
              <w:spacing w:after="0"/>
              <w:rPr>
                <w:sz w:val="23"/>
                <w:szCs w:val="23"/>
                <w:color w:val="auto"/>
              </w:rPr>
            </w:pPr>
          </w:p>
        </w:tc>
        <w:tc>
          <w:tcPr>
            <w:tcW w:w="234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w w:val="97"/>
              </w:rPr>
              <w:t>Offering Price</w:t>
            </w:r>
            <w:r>
              <w:rPr>
                <w:rFonts w:ascii="Arial" w:cs="Arial" w:eastAsia="Arial" w:hAnsi="Arial"/>
                <w:sz w:val="29"/>
                <w:szCs w:val="29"/>
                <w:b w:val="1"/>
                <w:bCs w:val="1"/>
                <w:color w:val="auto"/>
                <w:w w:val="97"/>
                <w:vertAlign w:val="superscript"/>
              </w:rPr>
              <w:t>(1)</w:t>
            </w:r>
            <w:r>
              <w:rPr>
                <w:rFonts w:ascii="Arial" w:cs="Arial" w:eastAsia="Arial" w:hAnsi="Arial"/>
                <w:sz w:val="18"/>
                <w:szCs w:val="18"/>
                <w:b w:val="1"/>
                <w:bCs w:val="1"/>
                <w:color w:val="auto"/>
                <w:w w:val="97"/>
              </w:rPr>
              <w:t xml:space="preserve">    Fee Rate</w:t>
            </w:r>
          </w:p>
        </w:tc>
        <w:tc>
          <w:tcPr>
            <w:tcW w:w="180" w:type="dxa"/>
            <w:vAlign w:val="bottom"/>
          </w:tcPr>
          <w:p>
            <w:pPr>
              <w:spacing w:after="0"/>
              <w:rPr>
                <w:sz w:val="23"/>
                <w:szCs w:val="23"/>
                <w:color w:val="auto"/>
              </w:rPr>
            </w:pPr>
          </w:p>
        </w:tc>
        <w:tc>
          <w:tcPr>
            <w:tcW w:w="960" w:type="dxa"/>
            <w:vAlign w:val="bottom"/>
            <w:gridSpan w:val="2"/>
          </w:tcPr>
          <w:p>
            <w:pPr>
              <w:jc w:val="center"/>
              <w:spacing w:after="0" w:line="271" w:lineRule="exact"/>
              <w:rPr>
                <w:sz w:val="20"/>
                <w:szCs w:val="20"/>
                <w:color w:val="auto"/>
              </w:rPr>
            </w:pPr>
            <w:r>
              <w:rPr>
                <w:rFonts w:ascii="Arial" w:cs="Arial" w:eastAsia="Arial" w:hAnsi="Arial"/>
                <w:sz w:val="18"/>
                <w:szCs w:val="18"/>
                <w:b w:val="1"/>
                <w:bCs w:val="1"/>
                <w:color w:val="auto"/>
                <w:w w:val="80"/>
              </w:rPr>
              <w:t>Fee</w:t>
            </w:r>
            <w:r>
              <w:rPr>
                <w:rFonts w:ascii="Arial" w:cs="Arial" w:eastAsia="Arial" w:hAnsi="Arial"/>
                <w:sz w:val="29"/>
                <w:szCs w:val="29"/>
                <w:b w:val="1"/>
                <w:bCs w:val="1"/>
                <w:color w:val="auto"/>
                <w:w w:val="80"/>
                <w:vertAlign w:val="superscript"/>
              </w:rPr>
              <w:t>(3)</w:t>
            </w:r>
          </w:p>
        </w:tc>
      </w:tr>
      <w:tr>
        <w:trPr>
          <w:trHeight w:val="20"/>
        </w:trPr>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-7620</wp:posOffset>
            </wp:positionV>
            <wp:extent cx="7132320" cy="4457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620" w:type="dxa"/>
            <w:vAlign w:val="bottom"/>
            <w:gridSpan w:val="2"/>
          </w:tcPr>
          <w:p>
            <w:pPr>
              <w:ind w:left="980"/>
              <w:spacing w:after="0"/>
              <w:rPr>
                <w:sz w:val="20"/>
                <w:szCs w:val="20"/>
                <w:color w:val="auto"/>
              </w:rPr>
            </w:pPr>
            <w:r>
              <w:rPr>
                <w:rFonts w:ascii="Arial" w:cs="Arial" w:eastAsia="Arial" w:hAnsi="Arial"/>
                <w:sz w:val="18"/>
                <w:szCs w:val="18"/>
                <w:color w:val="auto"/>
              </w:rPr>
              <w:t>457(h)</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99,420</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12.95</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1,287,489</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0.0000927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119.35</w:t>
            </w:r>
          </w:p>
        </w:tc>
      </w:tr>
      <w:tr>
        <w:trPr>
          <w:trHeight w:val="20"/>
        </w:trPr>
        <w:tc>
          <w:tcPr>
            <w:tcW w:w="1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858"/>
        </w:trPr>
        <w:tc>
          <w:tcPr>
            <w:tcW w:w="1620" w:type="dxa"/>
            <w:vAlign w:val="bottom"/>
            <w:gridSpan w:val="2"/>
          </w:tcPr>
          <w:p>
            <w:pPr>
              <w:ind w:left="980"/>
              <w:spacing w:after="0"/>
              <w:rPr>
                <w:sz w:val="20"/>
                <w:szCs w:val="20"/>
                <w:color w:val="auto"/>
              </w:rPr>
            </w:pPr>
            <w:r>
              <w:rPr>
                <w:rFonts w:ascii="Arial" w:cs="Arial" w:eastAsia="Arial" w:hAnsi="Arial"/>
                <w:sz w:val="18"/>
                <w:szCs w:val="18"/>
                <w:color w:val="auto"/>
              </w:rPr>
              <w:t>457(h)</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8,000</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12.95</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103,600</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0.0000927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-556895</wp:posOffset>
            </wp:positionV>
            <wp:extent cx="7132320" cy="5575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80" w:space="140"/>
            <w:col w:w="81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12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3120" w:type="dxa"/>
            <w:vAlign w:val="bottom"/>
          </w:tcPr>
          <w:p>
            <w:pPr>
              <w:spacing w:after="0"/>
              <w:rPr>
                <w:sz w:val="16"/>
                <w:szCs w:val="16"/>
                <w:color w:val="auto"/>
              </w:rPr>
            </w:pPr>
          </w:p>
        </w:tc>
        <w:tc>
          <w:tcPr>
            <w:tcW w:w="2640" w:type="dxa"/>
            <w:vAlign w:val="bottom"/>
          </w:tcPr>
          <w:p>
            <w:pPr>
              <w:spacing w:after="0" w:line="189" w:lineRule="exact"/>
              <w:rPr>
                <w:sz w:val="20"/>
                <w:szCs w:val="20"/>
                <w:color w:val="auto"/>
              </w:rPr>
            </w:pPr>
            <w:r>
              <w:rPr>
                <w:rFonts w:ascii="Arial" w:cs="Arial" w:eastAsia="Arial" w:hAnsi="Arial"/>
                <w:sz w:val="18"/>
                <w:szCs w:val="18"/>
                <w:b w:val="1"/>
                <w:bCs w:val="1"/>
                <w:color w:val="auto"/>
              </w:rPr>
              <w:t>Total Offering Amounts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1,391,089</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128.95</w:t>
            </w:r>
          </w:p>
        </w:tc>
        <w:tc>
          <w:tcPr>
            <w:tcW w:w="80" w:type="dxa"/>
            <w:vAlign w:val="bottom"/>
          </w:tcPr>
          <w:p>
            <w:pPr>
              <w:spacing w:after="0"/>
              <w:rPr>
                <w:sz w:val="16"/>
                <w:szCs w:val="16"/>
                <w:color w:val="auto"/>
              </w:rPr>
            </w:pPr>
          </w:p>
        </w:tc>
      </w:tr>
      <w:tr>
        <w:trPr>
          <w:trHeight w:val="209"/>
        </w:trPr>
        <w:tc>
          <w:tcPr>
            <w:tcW w:w="7680" w:type="dxa"/>
            <w:vAlign w:val="bottom"/>
            <w:tcBorders>
              <w:top w:val="single" w:sz="8" w:color="CCEEFF"/>
            </w:tcBorders>
            <w:gridSpan w:val="5"/>
            <w:shd w:val="clear" w:color="auto" w:fill="CCEEFF"/>
          </w:tcPr>
          <w:p>
            <w:pPr>
              <w:ind w:left="3120"/>
              <w:spacing w:after="0"/>
              <w:rPr>
                <w:sz w:val="20"/>
                <w:szCs w:val="20"/>
                <w:color w:val="auto"/>
              </w:rPr>
            </w:pPr>
            <w:r>
              <w:rPr>
                <w:rFonts w:ascii="Arial" w:cs="Arial" w:eastAsia="Arial" w:hAnsi="Arial"/>
                <w:sz w:val="18"/>
                <w:szCs w:val="18"/>
                <w:b w:val="1"/>
                <w:bCs w:val="1"/>
                <w:color w:val="auto"/>
              </w:rPr>
              <w:t>Total Fee Offsets</w:t>
            </w: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680" w:type="dxa"/>
            <w:vAlign w:val="bottom"/>
            <w:gridSpan w:val="5"/>
          </w:tcPr>
          <w:p>
            <w:pPr>
              <w:ind w:left="3120"/>
              <w:spacing w:after="0"/>
              <w:rPr>
                <w:sz w:val="20"/>
                <w:szCs w:val="20"/>
                <w:color w:val="auto"/>
              </w:rPr>
            </w:pPr>
            <w:r>
              <w:rPr>
                <w:rFonts w:ascii="Arial" w:cs="Arial" w:eastAsia="Arial" w:hAnsi="Arial"/>
                <w:sz w:val="18"/>
                <w:szCs w:val="18"/>
                <w:b w:val="1"/>
                <w:bCs w:val="1"/>
                <w:color w:val="auto"/>
              </w:rPr>
              <w:t>Net Fee Due</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128.95</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180" w:firstLine="8"/>
        <w:spacing w:after="0" w:line="311" w:lineRule="auto"/>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Estimated in accordance with Rule 457(c) and (h) under the Securities Act of 1933, as amended (the “Securities Act”) solely for the purpose of calculating the registration fee. The proposed maximum offering price per share and the proposed maximum aggregate offering price are calculated using the average of the high and low prices of the Registrant’s Common Stock as reported on the Nasdaq Global Select Market on May 24, 2022.</w:t>
      </w:r>
    </w:p>
    <w:p>
      <w:pPr>
        <w:spacing w:after="0" w:line="148" w:lineRule="exact"/>
        <w:rPr>
          <w:rFonts w:ascii="Arial" w:cs="Arial" w:eastAsia="Arial" w:hAnsi="Arial"/>
          <w:sz w:val="16"/>
          <w:szCs w:val="16"/>
          <w:color w:val="auto"/>
        </w:rPr>
      </w:pPr>
    </w:p>
    <w:p>
      <w:pPr>
        <w:ind w:right="20" w:firstLine="8"/>
        <w:spacing w:after="0" w:line="286" w:lineRule="auto"/>
        <w:tabs>
          <w:tab w:leader="none" w:pos="2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Pursuant to Rule 416(a) of the Securities Act, this Registration Statement shall also cover any additional ordinary shares of the Registrant that become issuable under the Zealand Pharma A/S – 2022 Restricted Stock Unit Plan for Employees in the United States or the Zealand Pharma A/S – 2022 Restricted Stock Unit Plan for Board of Directors by reason of any stock dividend, stock split, recapitalization or other similar transaction.</w:t>
      </w:r>
    </w:p>
    <w:p>
      <w:pPr>
        <w:spacing w:after="0" w:line="165" w:lineRule="exact"/>
        <w:rPr>
          <w:rFonts w:ascii="Arial" w:cs="Arial" w:eastAsia="Arial" w:hAnsi="Arial"/>
          <w:sz w:val="17"/>
          <w:szCs w:val="17"/>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p>
      <w:pPr>
        <w:spacing w:after="0" w:line="225" w:lineRule="exact"/>
        <w:rPr>
          <w:rFonts w:ascii="Arial" w:cs="Arial" w:eastAsia="Arial" w:hAnsi="Arial"/>
          <w:sz w:val="18"/>
          <w:szCs w:val="18"/>
          <w:color w:val="auto"/>
        </w:rPr>
      </w:pPr>
    </w:p>
    <w:p>
      <w:pPr>
        <w:ind w:right="120" w:firstLine="8"/>
        <w:spacing w:after="0" w:line="263" w:lineRule="auto"/>
        <w:tabs>
          <w:tab w:leader="none" w:pos="2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shares may be represented by the Registrant’s American Depositary Shares (“ADSs”), each of which represents one ordinary share. The Registrant’s ADSs issuable upon deposit of the ordinary shares registered hereby have been registered under a separate registration statement on Form F-6 (File No. 333-219456).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lowerLetter"/>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lowerRoman"/>
      <w:start w:val="2"/>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lowerLetter"/>
      <w:start w:val="2"/>
    </w:lvl>
  </w:abstractNum>
  <w:abstractNum w:abstractNumId="5">
    <w:nsid w:val="8EDBDAB"/>
    <w:multiLevelType w:val="hybridMultilevel"/>
    <w:lvl w:ilvl="0">
      <w:lvlJc w:val="left"/>
      <w:lvlText w:val="(%1)"/>
      <w:numFmt w:val="lowerLetter"/>
      <w:start w:val="3"/>
    </w:lvl>
  </w:abstractNum>
  <w:abstractNum w:abstractNumId="6">
    <w:nsid w:val="79838CB2"/>
    <w:multiLevelType w:val="hybridMultilevel"/>
    <w:lvl w:ilvl="0">
      <w:lvlJc w:val="left"/>
      <w:lvlText w:val="1"/>
      <w:numFmt w:val="bullet"/>
      <w:start w:val="1"/>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2"/>
      <w:numFmt w:val="bullet"/>
      <w:start w:val="1"/>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1)"/>
      <w:numFmt w:val="lowerLetter"/>
      <w:start w:val="9"/>
    </w:lvl>
  </w:abstractNum>
  <w:abstractNum w:abstractNumId="11">
    <w:nsid w:val="71F32454"/>
    <w:multiLevelType w:val="hybridMultilevel"/>
    <w:lvl w:ilvl="0">
      <w:lvlJc w:val="left"/>
      <w:lvlText w:val="%1)"/>
      <w:numFmt w:val="lowerLetter"/>
      <w:start w:val="18"/>
    </w:lvl>
  </w:abstractNum>
  <w:abstractNum w:abstractNumId="12">
    <w:nsid w:val="2CA88611"/>
    <w:multiLevelType w:val="hybridMultilevel"/>
    <w:lvl w:ilvl="0">
      <w:lvlJc w:val="left"/>
      <w:lvlText w:val="3"/>
      <w:numFmt w:val="bullet"/>
      <w:start w:val="1"/>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lowerLetter"/>
      <w:start w:val="4"/>
    </w:lvl>
  </w:abstractNum>
  <w:abstractNum w:abstractNumId="15">
    <w:nsid w:val="3A95F874"/>
    <w:multiLevelType w:val="hybridMultilevel"/>
    <w:lvl w:ilvl="0">
      <w:lvlJc w:val="left"/>
      <w:lvlText w:val="4"/>
      <w:numFmt w:val="bullet"/>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7"/>
    </w:lvl>
    <w:lvl w:ilvl="1">
      <w:lvlJc w:val="left"/>
      <w:lvlText w:val="(%2)"/>
      <w:numFmt w:val="lowerRoman"/>
      <w:start w:val="1"/>
    </w:lvl>
  </w:abstractNum>
  <w:abstractNum w:abstractNumId="18">
    <w:nsid w:val="7C3DBD3D"/>
    <w:multiLevelType w:val="hybridMultilevel"/>
    <w:lvl w:ilvl="0">
      <w:lvlJc w:val="left"/>
      <w:lvlText w:val="%1)"/>
      <w:numFmt w:val="lowerLetter"/>
      <w:start w:val="14"/>
    </w:lvl>
  </w:abstractNum>
  <w:abstractNum w:abstractNumId="19">
    <w:nsid w:val="737B8DDC"/>
    <w:multiLevelType w:val="hybridMultilevel"/>
    <w:lvl w:ilvl="0">
      <w:lvlJc w:val="left"/>
      <w:lvlText w:val="5"/>
      <w:numFmt w:val="bullet"/>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bullet"/>
      <w:start w:val="1"/>
    </w:lvl>
  </w:abstractNum>
  <w:abstractNum w:abstractNumId="22">
    <w:nsid w:val="4516DDE9"/>
    <w:multiLevelType w:val="hybridMultilevel"/>
    <w:lvl w:ilvl="0">
      <w:lvlJc w:val="left"/>
      <w:lvlText w:val="2"/>
      <w:numFmt w:val="bullet"/>
      <w:start w:val="1"/>
    </w:lvl>
  </w:abstractNum>
  <w:abstractNum w:abstractNumId="23">
    <w:nsid w:val="3006C83E"/>
    <w:multiLevelType w:val="hybridMultilevel"/>
    <w:lvl w:ilvl="0">
      <w:lvlJc w:val="left"/>
      <w:lvlText w:val="3"/>
      <w:numFmt w:val="bullet"/>
      <w:start w:val="1"/>
    </w:lvl>
  </w:abstractNum>
  <w:abstractNum w:abstractNumId="24">
    <w:nsid w:val="614FD4A1"/>
    <w:multiLevelType w:val="hybridMultilevel"/>
    <w:lvl w:ilvl="0">
      <w:lvlJc w:val="left"/>
      <w:lvlText w:val="4"/>
      <w:numFmt w:val="bullet"/>
      <w:start w:val="1"/>
    </w:lvl>
  </w:abstractNum>
  <w:abstractNum w:abstractNumId="25">
    <w:nsid w:val="419AC241"/>
    <w:multiLevelType w:val="hybridMultilevel"/>
    <w:lvl w:ilvl="0">
      <w:lvlJc w:val="left"/>
      <w:lvlText w:val="5"/>
      <w:numFmt w:val="bullet"/>
      <w:start w:val="1"/>
    </w:lvl>
  </w:abstractNum>
  <w:abstractNum w:abstractNumId="26">
    <w:nsid w:val="5577F8E1"/>
    <w:multiLevelType w:val="hybridMultilevel"/>
    <w:lvl w:ilvl="0">
      <w:lvlJc w:val="left"/>
      <w:lvlText w:val="6"/>
      <w:numFmt w:val="bullet"/>
      <w:start w:val="1"/>
    </w:lvl>
  </w:abstractNum>
  <w:abstractNum w:abstractNumId="27">
    <w:nsid w:val="440BADFC"/>
    <w:multiLevelType w:val="hybridMultilevel"/>
    <w:lvl w:ilvl="0">
      <w:lvlJc w:val="left"/>
      <w:lvlText w:val="7"/>
      <w:numFmt w:val="bullet"/>
      <w:start w:val="1"/>
    </w:lvl>
  </w:abstractNum>
  <w:abstractNum w:abstractNumId="28">
    <w:nsid w:val="5072367"/>
    <w:multiLevelType w:val="hybridMultilevel"/>
    <w:lvl w:ilvl="0">
      <w:lvlJc w:val="left"/>
      <w:lvlText w:val="(%1)"/>
      <w:numFmt w:val="lowerRoman"/>
      <w:start w:val="1"/>
    </w:lvl>
  </w:abstractNum>
  <w:abstractNum w:abstractNumId="29">
    <w:nsid w:val="3804823E"/>
    <w:multiLevelType w:val="hybridMultilevel"/>
    <w:lvl w:ilvl="0">
      <w:lvlJc w:val="left"/>
      <w:lvlText w:val="8"/>
      <w:numFmt w:val="bullet"/>
      <w:start w:val="1"/>
    </w:lvl>
  </w:abstractNum>
  <w:abstractNum w:abstractNumId="30">
    <w:nsid w:val="77465F01"/>
    <w:multiLevelType w:val="hybridMultilevel"/>
    <w:lvl w:ilvl="0">
      <w:lvlJc w:val="left"/>
      <w:lvlText w:val="9"/>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bullet"/>
      <w:start w:val="1"/>
    </w:lvl>
  </w:abstractNum>
  <w:abstractNum w:abstractNumId="33">
    <w:nsid w:val="2463B9EA"/>
    <w:multiLevelType w:val="hybridMultilevel"/>
    <w:lvl w:ilvl="0">
      <w:lvlJc w:val="left"/>
      <w:lvlText w:val="2"/>
      <w:numFmt w:val="bullet"/>
      <w:start w:val="1"/>
    </w:lvl>
  </w:abstractNum>
  <w:abstractNum w:abstractNumId="34">
    <w:nsid w:val="5E884ADC"/>
    <w:multiLevelType w:val="hybridMultilevel"/>
    <w:lvl w:ilvl="0">
      <w:lvlJc w:val="left"/>
      <w:lvlText w:val="3"/>
      <w:numFmt w:val="bullet"/>
      <w:start w:val="1"/>
    </w:lvl>
  </w:abstractNum>
  <w:abstractNum w:abstractNumId="35">
    <w:nsid w:val="51EAD36B"/>
    <w:multiLevelType w:val="hybridMultilevel"/>
    <w:lvl w:ilvl="0">
      <w:lvlJc w:val="left"/>
      <w:lvlText w:val="4"/>
      <w:numFmt w:val="bullet"/>
      <w:start w:val="1"/>
    </w:lvl>
  </w:abstractNum>
  <w:abstractNum w:abstractNumId="36">
    <w:nsid w:val="2D517796"/>
    <w:multiLevelType w:val="hybridMultilevel"/>
    <w:lvl w:ilvl="0">
      <w:lvlJc w:val="left"/>
      <w:lvlText w:val="5"/>
      <w:numFmt w:val="bullet"/>
      <w:start w:val="1"/>
    </w:lvl>
  </w:abstractNum>
  <w:abstractNum w:abstractNumId="37">
    <w:nsid w:val="580BD78F"/>
    <w:multiLevelType w:val="hybridMultilevel"/>
    <w:lvl w:ilvl="0">
      <w:lvlJc w:val="left"/>
      <w:lvlText w:val="6"/>
      <w:numFmt w:val="bullet"/>
      <w:start w:val="1"/>
    </w:lvl>
  </w:abstractNum>
  <w:abstractNum w:abstractNumId="38">
    <w:nsid w:val="153EA438"/>
    <w:multiLevelType w:val="hybridMultilevel"/>
    <w:lvl w:ilvl="0">
      <w:lvlJc w:val="left"/>
      <w:lvlText w:val="7"/>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8"/>
      <w:numFmt w:val="bullet"/>
      <w:start w:val="1"/>
    </w:lvl>
  </w:abstractNum>
  <w:abstractNum w:abstractNumId="41">
    <w:nsid w:val="6A2342EC"/>
    <w:multiLevelType w:val="hybridMultilevel"/>
    <w:lvl w:ilvl="0">
      <w:lvlJc w:val="left"/>
      <w:lvlText w:val="9"/>
      <w:numFmt w:val="bullet"/>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jpeg"/><Relationship Id="rId287" Type="http://schemas.openxmlformats.org/officeDocument/2006/relationships/image" Target="media/image273.png"/><Relationship Id="rId288" Type="http://schemas.openxmlformats.org/officeDocument/2006/relationships/image" Target="media/image274.jpeg"/><Relationship Id="rId289" Type="http://schemas.openxmlformats.org/officeDocument/2006/relationships/image" Target="media/image275.png"/><Relationship Id="rId290" Type="http://schemas.openxmlformats.org/officeDocument/2006/relationships/image" Target="media/image276.jpeg"/><Relationship Id="rId291" Type="http://schemas.openxmlformats.org/officeDocument/2006/relationships/image" Target="media/image277.png"/><Relationship Id="rId292" Type="http://schemas.openxmlformats.org/officeDocument/2006/relationships/image" Target="media/image278.jpeg"/><Relationship Id="rId293" Type="http://schemas.openxmlformats.org/officeDocument/2006/relationships/image" Target="media/image279.png"/><Relationship Id="rId294" Type="http://schemas.openxmlformats.org/officeDocument/2006/relationships/image" Target="media/image280.jpeg"/><Relationship Id="rId295" Type="http://schemas.openxmlformats.org/officeDocument/2006/relationships/image" Target="media/image281.png"/><Relationship Id="rId296" Type="http://schemas.openxmlformats.org/officeDocument/2006/relationships/image" Target="media/image282.jpeg"/><Relationship Id="rId297" Type="http://schemas.openxmlformats.org/officeDocument/2006/relationships/image" Target="media/image283.png"/><Relationship Id="rId298" Type="http://schemas.openxmlformats.org/officeDocument/2006/relationships/image" Target="media/image284.jpeg"/><Relationship Id="rId299" Type="http://schemas.openxmlformats.org/officeDocument/2006/relationships/image" Target="media/image285.png"/><Relationship Id="rId300" Type="http://schemas.openxmlformats.org/officeDocument/2006/relationships/image" Target="media/image286.jpeg"/><Relationship Id="rId301" Type="http://schemas.openxmlformats.org/officeDocument/2006/relationships/image" Target="media/image287.png"/><Relationship Id="rId302" Type="http://schemas.openxmlformats.org/officeDocument/2006/relationships/image" Target="media/image288.jpe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jpeg"/><Relationship Id="rId310" Type="http://schemas.openxmlformats.org/officeDocument/2006/relationships/image" Target="media/image296.png"/><Relationship Id="rId311" Type="http://schemas.openxmlformats.org/officeDocument/2006/relationships/image" Target="media/image297.jpe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jpe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15" Type="http://schemas.openxmlformats.org/officeDocument/2006/relationships/hyperlink" Target="https://www.sec.gov/Archives/edgar/data/1674988/000110465922037611/zeal-20211231x20f.htm" TargetMode="External"/><Relationship Id="rId16" Type="http://schemas.openxmlformats.org/officeDocument/2006/relationships/hyperlink" Target="https://www.sec.gov/Archives/edgar/data/1674988/000110465922042831/zeal-20211231x20fa.htm" TargetMode="External"/><Relationship Id="rId17" Type="http://schemas.openxmlformats.org/officeDocument/2006/relationships/hyperlink" Target="https://www.sec.gov/Archives/edgar/data/1674988/000110465922048940/tm2213338d1_6k.htm" TargetMode="External"/><Relationship Id="rId18" Type="http://schemas.openxmlformats.org/officeDocument/2006/relationships/hyperlink" Target="https://www.sec.gov/Archives/edgar/data/1674988/000110465922060858/tm2215382d1_6k.htm" TargetMode="External"/><Relationship Id="rId19" Type="http://schemas.openxmlformats.org/officeDocument/2006/relationships/hyperlink" Target="https://www.sec.gov/Archives/edgar/data/1674988/000110465922063066/tm2215968d1_6k.htm" TargetMode="External"/><Relationship Id="rId20" Type="http://schemas.openxmlformats.org/officeDocument/2006/relationships/hyperlink" Target="https://www.sec.gov/Archives/edgar/data/1674988/000110465922064238/tm2215968d2_6k.htm" TargetMode="External"/><Relationship Id="rId23" Type="http://schemas.openxmlformats.org/officeDocument/2006/relationships/hyperlink" Target="https://www.sec.gov/Archives/edgar/data/1674988/000104746917004967/a2232879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2022-05-26T06:10:15Z</dcterms:created>
  <dcterms:modified xsi:type="dcterms:W3CDTF">2022-05-26T06:10:15Z</dcterms:modified>
</cp:coreProperties>
</file>